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F47" w:rsidRDefault="005B3F11" w:rsidP="006A3FC2">
      <w:pPr>
        <w:jc w:val="center"/>
      </w:pPr>
      <w:r>
        <w:rPr>
          <w:noProof/>
          <w:lang w:eastAsia="it-IT"/>
        </w:rPr>
        <w:drawing>
          <wp:inline distT="0" distB="0" distL="0" distR="0">
            <wp:extent cx="6154420" cy="769462"/>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riscia loghi sicilia calabria.jpg"/>
                    <pic:cNvPicPr/>
                  </pic:nvPicPr>
                  <pic:blipFill>
                    <a:blip r:embed="rId6">
                      <a:extLst>
                        <a:ext uri="{28A0092B-C50C-407E-A947-70E740481C1C}">
                          <a14:useLocalDpi xmlns:a14="http://schemas.microsoft.com/office/drawing/2010/main" val="0"/>
                        </a:ext>
                      </a:extLst>
                    </a:blip>
                    <a:stretch>
                      <a:fillRect/>
                    </a:stretch>
                  </pic:blipFill>
                  <pic:spPr>
                    <a:xfrm>
                      <a:off x="0" y="0"/>
                      <a:ext cx="6557578" cy="819867"/>
                    </a:xfrm>
                    <a:prstGeom prst="rect">
                      <a:avLst/>
                    </a:prstGeom>
                  </pic:spPr>
                </pic:pic>
              </a:graphicData>
            </a:graphic>
          </wp:inline>
        </w:drawing>
      </w:r>
    </w:p>
    <w:p w:rsidR="006A3FC2" w:rsidRPr="000708EB" w:rsidRDefault="006A3FC2" w:rsidP="006A3FC2">
      <w:pPr>
        <w:jc w:val="center"/>
        <w:rPr>
          <w:color w:val="002060"/>
        </w:rPr>
      </w:pPr>
      <w:r w:rsidRPr="000708EB">
        <w:rPr>
          <w:color w:val="002060"/>
        </w:rPr>
        <w:t>COMUNICATO STAMPA</w:t>
      </w:r>
    </w:p>
    <w:p w:rsidR="006A3FC2" w:rsidRPr="000708EB" w:rsidRDefault="006A3FC2" w:rsidP="006A3FC2">
      <w:pPr>
        <w:jc w:val="center"/>
        <w:rPr>
          <w:b/>
          <w:color w:val="002060"/>
        </w:rPr>
      </w:pPr>
      <w:r w:rsidRPr="000708EB">
        <w:rPr>
          <w:b/>
          <w:color w:val="002060"/>
        </w:rPr>
        <w:t xml:space="preserve">Gli industriali calabresi e siciliani: non c’è futuro senza </w:t>
      </w:r>
      <w:r w:rsidR="00AF4551">
        <w:rPr>
          <w:b/>
          <w:color w:val="002060"/>
        </w:rPr>
        <w:t>p</w:t>
      </w:r>
      <w:r w:rsidRPr="000708EB">
        <w:rPr>
          <w:b/>
          <w:color w:val="002060"/>
        </w:rPr>
        <w:t>onte</w:t>
      </w:r>
    </w:p>
    <w:p w:rsidR="006A3FC2" w:rsidRPr="000708EB" w:rsidRDefault="006A3FC2" w:rsidP="006A3FC2">
      <w:pPr>
        <w:jc w:val="center"/>
        <w:rPr>
          <w:b/>
          <w:color w:val="002060"/>
        </w:rPr>
      </w:pPr>
      <w:r w:rsidRPr="000708EB">
        <w:rPr>
          <w:b/>
          <w:color w:val="002060"/>
        </w:rPr>
        <w:t>Tutti i numeri in un dossier</w:t>
      </w:r>
    </w:p>
    <w:p w:rsidR="000446AF" w:rsidRPr="000708EB" w:rsidRDefault="00370F54" w:rsidP="00DF1EBA">
      <w:pPr>
        <w:jc w:val="both"/>
        <w:rPr>
          <w:color w:val="002060"/>
        </w:rPr>
      </w:pPr>
      <w:r>
        <w:rPr>
          <w:color w:val="002060"/>
        </w:rPr>
        <w:t xml:space="preserve">PALERMO, 15 GIUGNO 2020 - </w:t>
      </w:r>
      <w:r w:rsidR="000446AF" w:rsidRPr="000708EB">
        <w:rPr>
          <w:color w:val="002060"/>
        </w:rPr>
        <w:t xml:space="preserve">Sono passati 65 anni, </w:t>
      </w:r>
      <w:r w:rsidR="00F30092" w:rsidRPr="000708EB">
        <w:rPr>
          <w:color w:val="002060"/>
        </w:rPr>
        <w:t>spes</w:t>
      </w:r>
      <w:r w:rsidR="00A73B3E" w:rsidRPr="000708EB">
        <w:rPr>
          <w:color w:val="002060"/>
        </w:rPr>
        <w:t>i</w:t>
      </w:r>
      <w:r w:rsidR="00F30092" w:rsidRPr="000708EB">
        <w:rPr>
          <w:color w:val="002060"/>
        </w:rPr>
        <w:t xml:space="preserve"> </w:t>
      </w:r>
      <w:r w:rsidR="00A73B3E" w:rsidRPr="000708EB">
        <w:rPr>
          <w:color w:val="002060"/>
        </w:rPr>
        <w:t xml:space="preserve">960 milioni </w:t>
      </w:r>
      <w:r w:rsidR="00F30092" w:rsidRPr="000708EB">
        <w:rPr>
          <w:color w:val="002060"/>
        </w:rPr>
        <w:t>d</w:t>
      </w:r>
      <w:r w:rsidR="000446AF" w:rsidRPr="000708EB">
        <w:rPr>
          <w:color w:val="002060"/>
        </w:rPr>
        <w:t xml:space="preserve">i euro, coinvolti circa </w:t>
      </w:r>
      <w:r w:rsidR="00F30092" w:rsidRPr="000708EB">
        <w:rPr>
          <w:color w:val="002060"/>
        </w:rPr>
        <w:t>300</w:t>
      </w:r>
      <w:r w:rsidR="000446AF" w:rsidRPr="000708EB">
        <w:rPr>
          <w:color w:val="002060"/>
        </w:rPr>
        <w:t xml:space="preserve"> progettisti, </w:t>
      </w:r>
      <w:r w:rsidR="00F30092" w:rsidRPr="000708EB">
        <w:rPr>
          <w:color w:val="002060"/>
        </w:rPr>
        <w:t xml:space="preserve">100 tra società, </w:t>
      </w:r>
      <w:r w:rsidR="000446AF" w:rsidRPr="000708EB">
        <w:rPr>
          <w:color w:val="002060"/>
        </w:rPr>
        <w:t xml:space="preserve">enti, </w:t>
      </w:r>
      <w:r w:rsidR="00F30092" w:rsidRPr="000708EB">
        <w:rPr>
          <w:color w:val="002060"/>
        </w:rPr>
        <w:t>atenei</w:t>
      </w:r>
      <w:r w:rsidR="000446AF" w:rsidRPr="000708EB">
        <w:rPr>
          <w:color w:val="002060"/>
        </w:rPr>
        <w:t>. Ma ancora da Messina a Villa San Giovanni ci vuole il traghetto. Per 3</w:t>
      </w:r>
      <w:r w:rsidR="000F09EE">
        <w:rPr>
          <w:color w:val="002060"/>
        </w:rPr>
        <w:t>,3</w:t>
      </w:r>
      <w:r w:rsidR="000446AF" w:rsidRPr="000708EB">
        <w:rPr>
          <w:color w:val="002060"/>
        </w:rPr>
        <w:t xml:space="preserve"> </w:t>
      </w:r>
      <w:r w:rsidR="000F09EE">
        <w:rPr>
          <w:color w:val="002060"/>
        </w:rPr>
        <w:t>km</w:t>
      </w:r>
      <w:r w:rsidR="00032717" w:rsidRPr="000708EB">
        <w:rPr>
          <w:color w:val="002060"/>
        </w:rPr>
        <w:t xml:space="preserve"> </w:t>
      </w:r>
      <w:r w:rsidR="000446AF" w:rsidRPr="000708EB">
        <w:rPr>
          <w:color w:val="002060"/>
        </w:rPr>
        <w:t>un’ora</w:t>
      </w:r>
      <w:r w:rsidR="000F09EE">
        <w:rPr>
          <w:color w:val="002060"/>
        </w:rPr>
        <w:t>,</w:t>
      </w:r>
      <w:r w:rsidR="0099084A" w:rsidRPr="000708EB">
        <w:rPr>
          <w:color w:val="002060"/>
        </w:rPr>
        <w:t xml:space="preserve"> se va bene. </w:t>
      </w:r>
    </w:p>
    <w:p w:rsidR="00FB3261" w:rsidRPr="000708EB" w:rsidRDefault="000446AF" w:rsidP="00DF1EBA">
      <w:pPr>
        <w:jc w:val="both"/>
        <w:rPr>
          <w:color w:val="002060"/>
        </w:rPr>
      </w:pPr>
      <w:r w:rsidRPr="000708EB">
        <w:rPr>
          <w:color w:val="002060"/>
        </w:rPr>
        <w:t xml:space="preserve">Tutte le scandalose cifre del </w:t>
      </w:r>
      <w:r w:rsidR="00AF4551">
        <w:rPr>
          <w:color w:val="002060"/>
        </w:rPr>
        <w:t>p</w:t>
      </w:r>
      <w:r w:rsidRPr="000708EB">
        <w:rPr>
          <w:color w:val="002060"/>
        </w:rPr>
        <w:t xml:space="preserve">onte sullo Stretto sono contenute in un dossier preparato in maniera corale dagli industriali delle due regioni Calabria e Sicilia. </w:t>
      </w:r>
      <w:proofErr w:type="spellStart"/>
      <w:r w:rsidR="00A73B3E" w:rsidRPr="000708EB">
        <w:rPr>
          <w:color w:val="002060"/>
        </w:rPr>
        <w:t>Unindustria</w:t>
      </w:r>
      <w:proofErr w:type="spellEnd"/>
      <w:r w:rsidR="00A73B3E" w:rsidRPr="000708EB">
        <w:rPr>
          <w:color w:val="002060"/>
        </w:rPr>
        <w:t xml:space="preserve"> Calabria, </w:t>
      </w:r>
      <w:proofErr w:type="spellStart"/>
      <w:r w:rsidR="00A73B3E" w:rsidRPr="000708EB">
        <w:rPr>
          <w:color w:val="002060"/>
        </w:rPr>
        <w:t>Sicindustria</w:t>
      </w:r>
      <w:proofErr w:type="spellEnd"/>
      <w:r w:rsidR="00A73B3E" w:rsidRPr="000708EB">
        <w:rPr>
          <w:color w:val="002060"/>
        </w:rPr>
        <w:t xml:space="preserve">, Confindustria Catania e Confindustria Siracusa </w:t>
      </w:r>
      <w:r w:rsidR="00032717" w:rsidRPr="000708EB">
        <w:rPr>
          <w:color w:val="002060"/>
        </w:rPr>
        <w:t xml:space="preserve">sono </w:t>
      </w:r>
      <w:r w:rsidR="00A73B3E" w:rsidRPr="000708EB">
        <w:rPr>
          <w:color w:val="002060"/>
        </w:rPr>
        <w:t xml:space="preserve">insieme </w:t>
      </w:r>
      <w:r w:rsidR="00032717" w:rsidRPr="000708EB">
        <w:rPr>
          <w:color w:val="002060"/>
        </w:rPr>
        <w:t>per una istanza di civiltà: “</w:t>
      </w:r>
      <w:r w:rsidR="00FB3261" w:rsidRPr="000708EB">
        <w:rPr>
          <w:color w:val="002060"/>
        </w:rPr>
        <w:t xml:space="preserve">Non si può parlare di futuro e non si può parlare di Italia senza </w:t>
      </w:r>
      <w:r w:rsidR="00AF4551">
        <w:rPr>
          <w:color w:val="002060"/>
        </w:rPr>
        <w:t>p</w:t>
      </w:r>
      <w:r w:rsidR="00FB3261" w:rsidRPr="000708EB">
        <w:rPr>
          <w:color w:val="002060"/>
        </w:rPr>
        <w:t xml:space="preserve">onte. Siamo nel 2020, usciamo da una pandemia: non c’è spazio e non c’è tempo per battaglie ideologiche. Sicilia e Calabria sono distanti 3 miglia. </w:t>
      </w:r>
      <w:r w:rsidR="00032717" w:rsidRPr="000708EB">
        <w:rPr>
          <w:color w:val="002060"/>
        </w:rPr>
        <w:t xml:space="preserve">Un trasportatore può impiegare (dipende dal traffico) fino a 3 ore per varcare lo </w:t>
      </w:r>
      <w:r w:rsidR="00AF4551">
        <w:rPr>
          <w:color w:val="002060"/>
        </w:rPr>
        <w:t>S</w:t>
      </w:r>
      <w:r w:rsidR="00032717" w:rsidRPr="000708EB">
        <w:rPr>
          <w:color w:val="002060"/>
        </w:rPr>
        <w:t>tretto</w:t>
      </w:r>
      <w:r w:rsidR="00DE5DA6">
        <w:rPr>
          <w:color w:val="002060"/>
        </w:rPr>
        <w:t xml:space="preserve"> – rilevano il vicepresidente di Confindustria Natale Mazzuca, il vicepresidente vicario di </w:t>
      </w:r>
      <w:proofErr w:type="spellStart"/>
      <w:r w:rsidR="00DE5DA6">
        <w:rPr>
          <w:color w:val="002060"/>
        </w:rPr>
        <w:t>Sicindustria</w:t>
      </w:r>
      <w:proofErr w:type="spellEnd"/>
      <w:r w:rsidR="00DE5DA6">
        <w:rPr>
          <w:color w:val="002060"/>
        </w:rPr>
        <w:t xml:space="preserve"> Alessandro Albanese, il presidente di Confindustria Catania Antonello Biriaco</w:t>
      </w:r>
      <w:bookmarkStart w:id="0" w:name="_GoBack"/>
      <w:bookmarkEnd w:id="0"/>
      <w:r w:rsidR="00DE5DA6">
        <w:rPr>
          <w:color w:val="002060"/>
        </w:rPr>
        <w:t xml:space="preserve">, il presidente di Confindustria Siracusa Diego Bivona - </w:t>
      </w:r>
      <w:r w:rsidR="00032717" w:rsidRPr="000708EB">
        <w:rPr>
          <w:color w:val="002060"/>
        </w:rPr>
        <w:t xml:space="preserve">. </w:t>
      </w:r>
      <w:r w:rsidR="00FB3261" w:rsidRPr="000708EB">
        <w:rPr>
          <w:color w:val="002060"/>
        </w:rPr>
        <w:t>Questo è inaccettabile</w:t>
      </w:r>
      <w:r w:rsidR="00F35351" w:rsidRPr="000708EB">
        <w:rPr>
          <w:color w:val="002060"/>
        </w:rPr>
        <w:t xml:space="preserve">, in un’epoca in cui il mondo viaggia con l’alta velocità. </w:t>
      </w:r>
      <w:r w:rsidR="00FB3261" w:rsidRPr="000708EB">
        <w:rPr>
          <w:color w:val="002060"/>
        </w:rPr>
        <w:t xml:space="preserve"> </w:t>
      </w:r>
      <w:r w:rsidR="00F35351" w:rsidRPr="000708EB">
        <w:rPr>
          <w:color w:val="002060"/>
        </w:rPr>
        <w:t>S</w:t>
      </w:r>
      <w:r w:rsidR="00FB3261" w:rsidRPr="000708EB">
        <w:rPr>
          <w:color w:val="002060"/>
        </w:rPr>
        <w:t>candaloso</w:t>
      </w:r>
      <w:r w:rsidR="00F35351" w:rsidRPr="000708EB">
        <w:rPr>
          <w:color w:val="002060"/>
        </w:rPr>
        <w:t xml:space="preserve"> in un Paese</w:t>
      </w:r>
      <w:r w:rsidR="00FB3261" w:rsidRPr="000708EB">
        <w:rPr>
          <w:color w:val="002060"/>
        </w:rPr>
        <w:t xml:space="preserve"> </w:t>
      </w:r>
      <w:r w:rsidR="00F35351" w:rsidRPr="000708EB">
        <w:rPr>
          <w:color w:val="002060"/>
        </w:rPr>
        <w:t xml:space="preserve">in cui un progetto di rilancio e unità del Paese diventa terreno di scontri politici e merce di scambio nella becera partita delle logiche spartitorie. Occorre </w:t>
      </w:r>
      <w:r w:rsidR="00FB3261" w:rsidRPr="000708EB">
        <w:rPr>
          <w:color w:val="002060"/>
        </w:rPr>
        <w:t>programmare la ripresa dell’Italia e questa passa dall’alta velocità</w:t>
      </w:r>
      <w:r w:rsidR="00F35351" w:rsidRPr="000708EB">
        <w:rPr>
          <w:color w:val="002060"/>
        </w:rPr>
        <w:t xml:space="preserve">, </w:t>
      </w:r>
      <w:r w:rsidR="0099084A" w:rsidRPr="000708EB">
        <w:rPr>
          <w:color w:val="002060"/>
        </w:rPr>
        <w:t>Calabria e Sicilia comprese</w:t>
      </w:r>
      <w:r w:rsidR="00F35351" w:rsidRPr="000708EB">
        <w:rPr>
          <w:color w:val="002060"/>
        </w:rPr>
        <w:t xml:space="preserve">. </w:t>
      </w:r>
      <w:r w:rsidR="00FB3261" w:rsidRPr="000708EB">
        <w:rPr>
          <w:color w:val="002060"/>
        </w:rPr>
        <w:t xml:space="preserve"> </w:t>
      </w:r>
      <w:r w:rsidR="00D03D26">
        <w:rPr>
          <w:color w:val="002060"/>
        </w:rPr>
        <w:t>Cioè dal p</w:t>
      </w:r>
      <w:r w:rsidR="00F35351" w:rsidRPr="000708EB">
        <w:rPr>
          <w:color w:val="002060"/>
        </w:rPr>
        <w:t>ont</w:t>
      </w:r>
      <w:r w:rsidR="00A73B3E" w:rsidRPr="000708EB">
        <w:rPr>
          <w:color w:val="002060"/>
        </w:rPr>
        <w:t>e</w:t>
      </w:r>
      <w:r w:rsidR="00F35351" w:rsidRPr="000708EB">
        <w:rPr>
          <w:color w:val="002060"/>
        </w:rPr>
        <w:t xml:space="preserve"> sullo Stretto.</w:t>
      </w:r>
      <w:r w:rsidR="0099084A" w:rsidRPr="000708EB">
        <w:rPr>
          <w:color w:val="002060"/>
        </w:rPr>
        <w:t xml:space="preserve"> </w:t>
      </w:r>
      <w:r w:rsidR="003F49A7" w:rsidRPr="000708EB">
        <w:rPr>
          <w:color w:val="002060"/>
        </w:rPr>
        <w:t>Occorre scardinare il falso paradigma secondo cui costruire il ponte significa non realizzare e/o completare le altre infrastrutture necessarie. “Non si farà mai” è una formula senza visione. È il pretesto per chi non vuole progettare un modello di sviluppo del Meridione slegato da dipendenze politiche ed economiche. È un alibi per chi preferisce guardare al Sud con lo specchietto retrovisore</w:t>
      </w:r>
      <w:r w:rsidR="005C426B" w:rsidRPr="000708EB">
        <w:rPr>
          <w:color w:val="002060"/>
        </w:rPr>
        <w:t>”</w:t>
      </w:r>
      <w:r w:rsidR="003F49A7" w:rsidRPr="000708EB">
        <w:rPr>
          <w:color w:val="002060"/>
        </w:rPr>
        <w:t>.</w:t>
      </w:r>
    </w:p>
    <w:p w:rsidR="00CC54F3" w:rsidRPr="000708EB" w:rsidRDefault="00696078" w:rsidP="00CC54F3">
      <w:pPr>
        <w:jc w:val="both"/>
        <w:rPr>
          <w:color w:val="002060"/>
        </w:rPr>
      </w:pPr>
      <w:r w:rsidRPr="000708EB">
        <w:rPr>
          <w:color w:val="002060"/>
        </w:rPr>
        <w:t xml:space="preserve">La richiesta degli </w:t>
      </w:r>
      <w:r w:rsidR="00FB3261" w:rsidRPr="000708EB">
        <w:rPr>
          <w:color w:val="002060"/>
        </w:rPr>
        <w:t>industriali della Calabria e della Si</w:t>
      </w:r>
      <w:r w:rsidR="00A73B3E" w:rsidRPr="000708EB">
        <w:rPr>
          <w:color w:val="002060"/>
        </w:rPr>
        <w:t>cilia ha il peso specifico di una rappresentanza diffusa e articolata: i</w:t>
      </w:r>
      <w:r w:rsidR="00555976" w:rsidRPr="000708EB">
        <w:rPr>
          <w:color w:val="002060"/>
        </w:rPr>
        <w:t xml:space="preserve">n Sicilia ci sono quasi 470 mila imprese, per un totale di ricavi che sfiora i 40 miliardi e circa 500.000 lavoratori occupati. </w:t>
      </w:r>
      <w:r w:rsidR="00CC54F3" w:rsidRPr="000708EB">
        <w:rPr>
          <w:color w:val="002060"/>
        </w:rPr>
        <w:t xml:space="preserve">In Calabria sono poco più di 187 mila imprese per un totale di 400 mila addetti circa e ricavi per oltre 20 miliardi di euro. Insieme si tratta di una robusta falange di oltre 650 mila imprese che, unite, sostengono l’improrogabilità del </w:t>
      </w:r>
      <w:r w:rsidR="00D03D26">
        <w:rPr>
          <w:color w:val="002060"/>
        </w:rPr>
        <w:t>p</w:t>
      </w:r>
      <w:r w:rsidR="00CC54F3" w:rsidRPr="000708EB">
        <w:rPr>
          <w:color w:val="002060"/>
        </w:rPr>
        <w:t xml:space="preserve">onte. </w:t>
      </w:r>
    </w:p>
    <w:p w:rsidR="005C426B" w:rsidRPr="000708EB" w:rsidRDefault="005C426B" w:rsidP="00DF1EBA">
      <w:pPr>
        <w:jc w:val="both"/>
        <w:rPr>
          <w:color w:val="002060"/>
        </w:rPr>
      </w:pPr>
      <w:r w:rsidRPr="000708EB">
        <w:rPr>
          <w:color w:val="002060"/>
        </w:rPr>
        <w:lastRenderedPageBreak/>
        <w:t xml:space="preserve">Per realizzarlo è necessaria una gestione commissariale, con tempi e costi certi. Per far sì che non ci sia più un Paese diviso a metà. </w:t>
      </w:r>
    </w:p>
    <w:p w:rsidR="000708EB" w:rsidRDefault="00CC54F3" w:rsidP="00DF1EBA">
      <w:pPr>
        <w:jc w:val="both"/>
        <w:rPr>
          <w:b/>
          <w:color w:val="002060"/>
        </w:rPr>
      </w:pPr>
      <w:r w:rsidRPr="000708EB">
        <w:rPr>
          <w:color w:val="002060"/>
        </w:rPr>
        <w:t xml:space="preserve">Il </w:t>
      </w:r>
      <w:r w:rsidR="003F76AF" w:rsidRPr="000708EB">
        <w:rPr>
          <w:color w:val="002060"/>
        </w:rPr>
        <w:t>report</w:t>
      </w:r>
      <w:r w:rsidR="000446AF" w:rsidRPr="000708EB">
        <w:rPr>
          <w:color w:val="002060"/>
        </w:rPr>
        <w:t xml:space="preserve">. </w:t>
      </w:r>
      <w:r w:rsidR="00F35351" w:rsidRPr="000708EB">
        <w:rPr>
          <w:color w:val="002060"/>
        </w:rPr>
        <w:t>Quanto costa</w:t>
      </w:r>
      <w:r w:rsidR="000446AF" w:rsidRPr="000708EB">
        <w:rPr>
          <w:color w:val="002060"/>
        </w:rPr>
        <w:t xml:space="preserve"> il ponte</w:t>
      </w:r>
      <w:r w:rsidR="00F35351" w:rsidRPr="000708EB">
        <w:rPr>
          <w:color w:val="002060"/>
        </w:rPr>
        <w:t xml:space="preserve">. Quanti esempi </w:t>
      </w:r>
      <w:r w:rsidR="000446AF" w:rsidRPr="000708EB">
        <w:rPr>
          <w:color w:val="002060"/>
        </w:rPr>
        <w:t xml:space="preserve">ci sono già </w:t>
      </w:r>
      <w:r w:rsidR="00F35351" w:rsidRPr="000708EB">
        <w:rPr>
          <w:color w:val="002060"/>
        </w:rPr>
        <w:t>nel mondo. Quanti anni per la costruzione. Quanti fondi già investiti. Quanti enti, progettisti, finanziatori, imprese</w:t>
      </w:r>
      <w:r w:rsidR="000446AF" w:rsidRPr="000708EB">
        <w:rPr>
          <w:color w:val="002060"/>
        </w:rPr>
        <w:t xml:space="preserve">, quanti soggetti </w:t>
      </w:r>
      <w:r w:rsidR="00F35351" w:rsidRPr="000708EB">
        <w:rPr>
          <w:color w:val="002060"/>
        </w:rPr>
        <w:t>coinvolti finora. Tutti i numeri di uno dei più clamorosi buchi nell’acqua della storia della Repubblica.</w:t>
      </w:r>
      <w:r w:rsidR="00DF1EBA" w:rsidRPr="000708EB">
        <w:rPr>
          <w:color w:val="002060"/>
        </w:rPr>
        <w:t xml:space="preserve"> </w:t>
      </w:r>
    </w:p>
    <w:p w:rsidR="000708EB" w:rsidRDefault="000708EB" w:rsidP="00DF1EBA">
      <w:pPr>
        <w:jc w:val="both"/>
        <w:rPr>
          <w:b/>
          <w:color w:val="002060"/>
        </w:rPr>
      </w:pPr>
    </w:p>
    <w:p w:rsidR="000708EB" w:rsidRDefault="000708EB" w:rsidP="00DF1EBA">
      <w:pPr>
        <w:jc w:val="both"/>
        <w:rPr>
          <w:b/>
          <w:color w:val="002060"/>
        </w:rPr>
      </w:pPr>
    </w:p>
    <w:p w:rsidR="000708EB" w:rsidRDefault="000708EB" w:rsidP="00DF1EBA">
      <w:pPr>
        <w:jc w:val="both"/>
        <w:rPr>
          <w:b/>
          <w:color w:val="002060"/>
        </w:rPr>
      </w:pPr>
    </w:p>
    <w:p w:rsidR="000708EB" w:rsidRDefault="000708EB" w:rsidP="00DF1EBA">
      <w:pPr>
        <w:jc w:val="both"/>
        <w:rPr>
          <w:b/>
          <w:color w:val="002060"/>
        </w:rPr>
      </w:pPr>
    </w:p>
    <w:p w:rsidR="000708EB" w:rsidRDefault="000708EB" w:rsidP="00DF1EBA">
      <w:pPr>
        <w:jc w:val="both"/>
        <w:rPr>
          <w:b/>
          <w:color w:val="002060"/>
        </w:rPr>
      </w:pPr>
    </w:p>
    <w:p w:rsidR="000708EB" w:rsidRDefault="000708EB" w:rsidP="00DF1EBA">
      <w:pPr>
        <w:jc w:val="both"/>
        <w:rPr>
          <w:b/>
          <w:color w:val="002060"/>
        </w:rPr>
      </w:pPr>
    </w:p>
    <w:p w:rsidR="000708EB" w:rsidRDefault="000708EB" w:rsidP="00DF1EBA">
      <w:pPr>
        <w:jc w:val="both"/>
        <w:rPr>
          <w:b/>
          <w:color w:val="002060"/>
        </w:rPr>
      </w:pPr>
    </w:p>
    <w:p w:rsidR="000708EB" w:rsidRDefault="000708EB" w:rsidP="00DF1EBA">
      <w:pPr>
        <w:jc w:val="both"/>
        <w:rPr>
          <w:b/>
          <w:color w:val="002060"/>
        </w:rPr>
      </w:pPr>
    </w:p>
    <w:p w:rsidR="000708EB" w:rsidRDefault="000708EB" w:rsidP="00DF1EBA">
      <w:pPr>
        <w:jc w:val="both"/>
        <w:rPr>
          <w:b/>
          <w:color w:val="002060"/>
        </w:rPr>
      </w:pPr>
    </w:p>
    <w:p w:rsidR="000708EB" w:rsidRDefault="000708EB" w:rsidP="00DF1EBA">
      <w:pPr>
        <w:jc w:val="both"/>
        <w:rPr>
          <w:b/>
          <w:color w:val="002060"/>
        </w:rPr>
      </w:pPr>
    </w:p>
    <w:p w:rsidR="000708EB" w:rsidRDefault="000708EB" w:rsidP="00DF1EBA">
      <w:pPr>
        <w:jc w:val="both"/>
        <w:rPr>
          <w:b/>
          <w:color w:val="002060"/>
        </w:rPr>
      </w:pPr>
    </w:p>
    <w:p w:rsidR="000708EB" w:rsidRDefault="000708EB" w:rsidP="00DF1EBA">
      <w:pPr>
        <w:jc w:val="both"/>
        <w:rPr>
          <w:b/>
          <w:color w:val="002060"/>
        </w:rPr>
      </w:pPr>
    </w:p>
    <w:p w:rsidR="000708EB" w:rsidRDefault="000708EB" w:rsidP="00DF1EBA">
      <w:pPr>
        <w:jc w:val="both"/>
        <w:rPr>
          <w:b/>
          <w:color w:val="002060"/>
        </w:rPr>
      </w:pPr>
    </w:p>
    <w:p w:rsidR="000708EB" w:rsidRDefault="000708EB" w:rsidP="00DF1EBA">
      <w:pPr>
        <w:jc w:val="both"/>
        <w:rPr>
          <w:b/>
          <w:color w:val="002060"/>
        </w:rPr>
      </w:pPr>
    </w:p>
    <w:p w:rsidR="000708EB" w:rsidRDefault="000708EB" w:rsidP="00DF1EBA">
      <w:pPr>
        <w:jc w:val="both"/>
        <w:rPr>
          <w:b/>
          <w:color w:val="002060"/>
        </w:rPr>
      </w:pPr>
    </w:p>
    <w:p w:rsidR="000708EB" w:rsidRDefault="000708EB" w:rsidP="00DF1EBA">
      <w:pPr>
        <w:jc w:val="both"/>
        <w:rPr>
          <w:b/>
          <w:color w:val="002060"/>
        </w:rPr>
      </w:pPr>
    </w:p>
    <w:p w:rsidR="000708EB" w:rsidRDefault="000708EB" w:rsidP="00DF1EBA">
      <w:pPr>
        <w:jc w:val="both"/>
        <w:rPr>
          <w:b/>
          <w:color w:val="002060"/>
        </w:rPr>
      </w:pPr>
    </w:p>
    <w:p w:rsidR="000708EB" w:rsidRDefault="000708EB" w:rsidP="00DF1EBA">
      <w:pPr>
        <w:jc w:val="both"/>
        <w:rPr>
          <w:b/>
          <w:color w:val="002060"/>
        </w:rPr>
      </w:pPr>
    </w:p>
    <w:p w:rsidR="000708EB" w:rsidRDefault="000708EB" w:rsidP="00DF1EBA">
      <w:pPr>
        <w:jc w:val="both"/>
        <w:rPr>
          <w:b/>
          <w:color w:val="002060"/>
        </w:rPr>
      </w:pPr>
    </w:p>
    <w:p w:rsidR="000708EB" w:rsidRDefault="000708EB" w:rsidP="00DF1EBA">
      <w:pPr>
        <w:jc w:val="both"/>
        <w:rPr>
          <w:b/>
          <w:color w:val="002060"/>
        </w:rPr>
      </w:pPr>
    </w:p>
    <w:p w:rsidR="000708EB" w:rsidRDefault="000708EB" w:rsidP="00DF1EBA">
      <w:pPr>
        <w:jc w:val="both"/>
        <w:rPr>
          <w:b/>
          <w:color w:val="002060"/>
        </w:rPr>
      </w:pPr>
    </w:p>
    <w:p w:rsidR="000708EB" w:rsidRDefault="000708EB" w:rsidP="00DF1EBA">
      <w:pPr>
        <w:jc w:val="both"/>
        <w:rPr>
          <w:b/>
          <w:color w:val="002060"/>
        </w:rPr>
      </w:pPr>
    </w:p>
    <w:p w:rsidR="001E129E" w:rsidRPr="000708EB" w:rsidRDefault="00C505F5" w:rsidP="00DF1EBA">
      <w:pPr>
        <w:jc w:val="both"/>
        <w:rPr>
          <w:b/>
          <w:color w:val="002060"/>
        </w:rPr>
      </w:pPr>
      <w:r w:rsidRPr="000708EB">
        <w:rPr>
          <w:b/>
          <w:color w:val="002060"/>
        </w:rPr>
        <w:lastRenderedPageBreak/>
        <w:t>I NUMERI DEL PROGETTO</w:t>
      </w:r>
    </w:p>
    <w:tbl>
      <w:tblPr>
        <w:tblW w:w="5000" w:type="pct"/>
        <w:jc w:val="center"/>
        <w:tblCellSpacing w:w="0" w:type="dxa"/>
        <w:tblCellMar>
          <w:top w:w="72" w:type="dxa"/>
          <w:left w:w="72" w:type="dxa"/>
          <w:bottom w:w="72" w:type="dxa"/>
          <w:right w:w="72" w:type="dxa"/>
        </w:tblCellMar>
        <w:tblLook w:val="04A0" w:firstRow="1" w:lastRow="0" w:firstColumn="1" w:lastColumn="0" w:noHBand="0" w:noVBand="1"/>
      </w:tblPr>
      <w:tblGrid>
        <w:gridCol w:w="9638"/>
      </w:tblGrid>
      <w:tr w:rsidR="000708EB" w:rsidRPr="000708EB" w:rsidTr="00C505F5">
        <w:trPr>
          <w:tblCellSpacing w:w="0" w:type="dxa"/>
          <w:jc w:val="center"/>
        </w:trPr>
        <w:tc>
          <w:tcPr>
            <w:tcW w:w="0" w:type="auto"/>
            <w:tcBorders>
              <w:top w:val="nil"/>
              <w:left w:val="nil"/>
              <w:bottom w:val="nil"/>
              <w:right w:val="nil"/>
            </w:tcBorders>
            <w:shd w:val="clear" w:color="auto" w:fill="FFFFFF"/>
            <w:vAlign w:val="center"/>
            <w:hideMark/>
          </w:tcPr>
          <w:p w:rsidR="00C505F5" w:rsidRPr="000708EB" w:rsidRDefault="00C505F5" w:rsidP="00DF1EBA">
            <w:pPr>
              <w:jc w:val="both"/>
              <w:rPr>
                <w:color w:val="002060"/>
              </w:rPr>
            </w:pPr>
            <w:r w:rsidRPr="000708EB">
              <w:rPr>
                <w:color w:val="002060"/>
              </w:rPr>
              <w:t>3.300 metri campata centrale; 3.666 metri lunghezza complessiva con le campate laterali; 60,4 metri larghezza dell' impalcato; 6 corsie stradali, 3 per ciascun senso di marcia (veloce, normale, emergenza); 2 corsie stradali di servizio; 2 binari; 6.000 veicoli/ora capacità; 200 treni/giorno capacità; 382,60 metri altezza torri; 2 coppie di cavi sistema di sospensione; 5.300 metri lunghezza complessiva dei cavi; 1,24 metri diametro dei cavi di sospensione; 44.352 fili di acciaio per cavo; 65 metri di altezza per 600 di larghezza di canale navigabile centrale; 50 metri di altezza per 1.000 di larghezza per ciascuno dei canali navigabili laterali.</w:t>
            </w:r>
          </w:p>
        </w:tc>
      </w:tr>
      <w:tr w:rsidR="000708EB" w:rsidRPr="000708EB" w:rsidTr="00C505F5">
        <w:trPr>
          <w:tblCellSpacing w:w="0" w:type="dxa"/>
          <w:jc w:val="center"/>
        </w:trPr>
        <w:tc>
          <w:tcPr>
            <w:tcW w:w="0" w:type="auto"/>
            <w:tcBorders>
              <w:top w:val="nil"/>
              <w:left w:val="nil"/>
              <w:bottom w:val="nil"/>
              <w:right w:val="nil"/>
            </w:tcBorders>
            <w:shd w:val="clear" w:color="auto" w:fill="FFFFFF"/>
            <w:vAlign w:val="center"/>
            <w:hideMark/>
          </w:tcPr>
          <w:p w:rsidR="00C505F5" w:rsidRPr="000708EB" w:rsidRDefault="00C505F5" w:rsidP="00DF1EBA">
            <w:pPr>
              <w:jc w:val="both"/>
              <w:rPr>
                <w:color w:val="002060"/>
              </w:rPr>
            </w:pPr>
            <w:r w:rsidRPr="000708EB">
              <w:rPr>
                <w:b/>
                <w:bCs/>
                <w:color w:val="002060"/>
              </w:rPr>
              <w:t>I COLLEGAMENTI</w:t>
            </w:r>
            <w:r w:rsidRPr="000708EB">
              <w:rPr>
                <w:color w:val="002060"/>
              </w:rPr>
              <w:t> 20,3 km raccordi stradali complessivi; 19,8 km raccordi ferroviari complessivi; 10,5 km di raccordi stradali lato Sicilia (di cui il 66% circa in galleria); 15,2 km di raccordi ferroviari lato Sicilia (di cui il 91% circa in galleria); 9,8 km di raccordi stradali lato Calabria (di cui il 64% circa in galleria); 4,6 km di raccordi ferroviari lato Calabria (di cui il 96% circa in galleria).</w:t>
            </w:r>
          </w:p>
        </w:tc>
      </w:tr>
      <w:tr w:rsidR="000708EB" w:rsidRPr="000708EB" w:rsidTr="00C505F5">
        <w:trPr>
          <w:tblCellSpacing w:w="0" w:type="dxa"/>
          <w:jc w:val="center"/>
        </w:trPr>
        <w:tc>
          <w:tcPr>
            <w:tcW w:w="0" w:type="auto"/>
            <w:tcBorders>
              <w:top w:val="nil"/>
              <w:left w:val="nil"/>
              <w:bottom w:val="nil"/>
              <w:right w:val="nil"/>
            </w:tcBorders>
            <w:shd w:val="clear" w:color="auto" w:fill="FFFFFF"/>
            <w:vAlign w:val="center"/>
            <w:hideMark/>
          </w:tcPr>
          <w:p w:rsidR="00C505F5" w:rsidRPr="000708EB" w:rsidRDefault="00C505F5" w:rsidP="00DF1EBA">
            <w:pPr>
              <w:jc w:val="both"/>
              <w:rPr>
                <w:color w:val="002060"/>
              </w:rPr>
            </w:pPr>
            <w:r w:rsidRPr="000708EB">
              <w:rPr>
                <w:b/>
                <w:bCs/>
                <w:color w:val="002060"/>
              </w:rPr>
              <w:t>I TEMPI</w:t>
            </w:r>
            <w:r w:rsidRPr="000708EB">
              <w:rPr>
                <w:color w:val="002060"/>
              </w:rPr>
              <w:t> 6 anni per la costruzione; 200 anni la vita utile.</w:t>
            </w:r>
          </w:p>
        </w:tc>
      </w:tr>
      <w:tr w:rsidR="000708EB" w:rsidRPr="000708EB" w:rsidTr="00C505F5">
        <w:trPr>
          <w:tblCellSpacing w:w="0" w:type="dxa"/>
          <w:jc w:val="center"/>
        </w:trPr>
        <w:tc>
          <w:tcPr>
            <w:tcW w:w="0" w:type="auto"/>
            <w:tcBorders>
              <w:top w:val="nil"/>
              <w:left w:val="nil"/>
              <w:bottom w:val="nil"/>
              <w:right w:val="nil"/>
            </w:tcBorders>
            <w:shd w:val="clear" w:color="auto" w:fill="FFFFFF"/>
            <w:vAlign w:val="center"/>
            <w:hideMark/>
          </w:tcPr>
          <w:p w:rsidR="00C505F5" w:rsidRPr="000708EB" w:rsidRDefault="00C505F5" w:rsidP="00DF1EBA">
            <w:pPr>
              <w:jc w:val="both"/>
              <w:rPr>
                <w:color w:val="002060"/>
              </w:rPr>
            </w:pPr>
          </w:p>
        </w:tc>
      </w:tr>
      <w:tr w:rsidR="000708EB" w:rsidRPr="000708EB" w:rsidTr="00C505F5">
        <w:trPr>
          <w:tblCellSpacing w:w="0" w:type="dxa"/>
          <w:jc w:val="center"/>
        </w:trPr>
        <w:tc>
          <w:tcPr>
            <w:tcW w:w="0" w:type="auto"/>
            <w:tcBorders>
              <w:top w:val="nil"/>
              <w:left w:val="nil"/>
              <w:bottom w:val="nil"/>
              <w:right w:val="nil"/>
            </w:tcBorders>
            <w:shd w:val="clear" w:color="auto" w:fill="FFFFFF"/>
            <w:vAlign w:val="center"/>
            <w:hideMark/>
          </w:tcPr>
          <w:p w:rsidR="00C505F5" w:rsidRPr="000708EB" w:rsidRDefault="00C505F5" w:rsidP="00DF1EBA">
            <w:pPr>
              <w:jc w:val="both"/>
              <w:rPr>
                <w:color w:val="002060"/>
              </w:rPr>
            </w:pPr>
            <w:r w:rsidRPr="000708EB">
              <w:rPr>
                <w:b/>
                <w:bCs/>
                <w:color w:val="002060"/>
              </w:rPr>
              <w:t>RISPARMIO TEMPO DI PERCORRENZA CON IL PONTE</w:t>
            </w:r>
            <w:r w:rsidRPr="000708EB">
              <w:rPr>
                <w:color w:val="002060"/>
              </w:rPr>
              <w:t> 2 ore per i treni; 1 ora per il traffico su gomma.</w:t>
            </w:r>
          </w:p>
        </w:tc>
      </w:tr>
    </w:tbl>
    <w:p w:rsidR="001E129E" w:rsidRPr="000708EB" w:rsidRDefault="00C505F5" w:rsidP="00DF1EBA">
      <w:pPr>
        <w:jc w:val="both"/>
        <w:rPr>
          <w:color w:val="002060"/>
        </w:rPr>
      </w:pPr>
      <w:r w:rsidRPr="000708EB">
        <w:rPr>
          <w:b/>
          <w:bCs/>
          <w:color w:val="002060"/>
        </w:rPr>
        <w:t>COSTO COMPLESSIVO </w:t>
      </w:r>
      <w:r w:rsidRPr="000708EB">
        <w:rPr>
          <w:color w:val="002060"/>
        </w:rPr>
        <w:t xml:space="preserve">– La stima aggiornata </w:t>
      </w:r>
      <w:r w:rsidR="00CC54F3" w:rsidRPr="000708EB">
        <w:rPr>
          <w:color w:val="002060"/>
        </w:rPr>
        <w:t>dell’investimento complessivo è</w:t>
      </w:r>
      <w:r w:rsidRPr="000708EB">
        <w:rPr>
          <w:color w:val="002060"/>
        </w:rPr>
        <w:t xml:space="preserve"> di 8,5 </w:t>
      </w:r>
      <w:r w:rsidR="00CC54F3" w:rsidRPr="000708EB">
        <w:rPr>
          <w:color w:val="002060"/>
        </w:rPr>
        <w:t>miliardi di euro, ma la cifra è</w:t>
      </w:r>
      <w:r w:rsidRPr="000708EB">
        <w:rPr>
          <w:color w:val="002060"/>
        </w:rPr>
        <w:t xml:space="preserve"> lievitata di 2,2 miliardi rispetto alle precedenti stime del </w:t>
      </w:r>
      <w:r w:rsidR="00CC54F3" w:rsidRPr="000708EB">
        <w:rPr>
          <w:color w:val="002060"/>
        </w:rPr>
        <w:t>p</w:t>
      </w:r>
      <w:r w:rsidRPr="000708EB">
        <w:rPr>
          <w:color w:val="002060"/>
        </w:rPr>
        <w:t xml:space="preserve">rogetto </w:t>
      </w:r>
      <w:r w:rsidR="00CC54F3" w:rsidRPr="000708EB">
        <w:rPr>
          <w:color w:val="002060"/>
        </w:rPr>
        <w:t>p</w:t>
      </w:r>
      <w:r w:rsidRPr="000708EB">
        <w:rPr>
          <w:color w:val="002060"/>
        </w:rPr>
        <w:t xml:space="preserve">reliminare (6,3 miliardi) soprattutto per le varianti richieste dagli </w:t>
      </w:r>
      <w:r w:rsidR="00CC54F3" w:rsidRPr="000708EB">
        <w:rPr>
          <w:color w:val="002060"/>
        </w:rPr>
        <w:t>e</w:t>
      </w:r>
      <w:r w:rsidRPr="000708EB">
        <w:rPr>
          <w:color w:val="002060"/>
        </w:rPr>
        <w:t>nti locali</w:t>
      </w:r>
    </w:p>
    <w:p w:rsidR="00C505F5" w:rsidRPr="000708EB" w:rsidRDefault="00C505F5" w:rsidP="00DF1EBA">
      <w:pPr>
        <w:jc w:val="both"/>
        <w:rPr>
          <w:color w:val="002060"/>
        </w:rPr>
      </w:pPr>
      <w:r w:rsidRPr="000708EB">
        <w:rPr>
          <w:b/>
          <w:bCs/>
          <w:color w:val="002060"/>
        </w:rPr>
        <w:t xml:space="preserve">INVESTIMENTI SOSTENUTI FINORA </w:t>
      </w:r>
      <w:r w:rsidRPr="000708EB">
        <w:rPr>
          <w:color w:val="002060"/>
        </w:rPr>
        <w:t xml:space="preserve">Il Ponte finora è costato quasi un miliardo. </w:t>
      </w:r>
    </w:p>
    <w:p w:rsidR="00C505F5" w:rsidRPr="000708EB" w:rsidRDefault="00C505F5" w:rsidP="00DF1EBA">
      <w:pPr>
        <w:jc w:val="both"/>
        <w:rPr>
          <w:color w:val="002060"/>
        </w:rPr>
      </w:pPr>
      <w:r w:rsidRPr="000708EB">
        <w:rPr>
          <w:color w:val="002060"/>
        </w:rPr>
        <w:t xml:space="preserve">La Corte dei Conti ha calcolato che la Società Stretto di Messina SPA ha speso dal 1981, anno della sua costituzione, al 2013, anno della decisione di liquidarla, 958.292 milioni di euro. A questi vanno sommati altri sei milioni dal 2013 al 2016. </w:t>
      </w:r>
    </w:p>
    <w:p w:rsidR="000B5B8C" w:rsidRPr="000708EB" w:rsidRDefault="00C505F5" w:rsidP="00DF1EBA">
      <w:pPr>
        <w:jc w:val="both"/>
        <w:rPr>
          <w:color w:val="002060"/>
        </w:rPr>
      </w:pPr>
      <w:r w:rsidRPr="000708EB">
        <w:rPr>
          <w:color w:val="002060"/>
        </w:rPr>
        <w:t>Nel dettaglio: dal 1981 al 2001 ha speso 74,443 milioni per studi di fattibilità, ricerca e progetto di massima. Negli anni (2002-2003) ne ha spesi altri 91,246 per il progetto preliminare e gli atti di convenzione, per poi spenderne 146,999 nel 2004-2006 per la gara di appalto, il piano finanziario, i sistemi informativi e gestionali.</w:t>
      </w:r>
      <w:r w:rsidRPr="000708EB">
        <w:rPr>
          <w:color w:val="002060"/>
        </w:rPr>
        <w:br/>
      </w:r>
      <w:r w:rsidRPr="000708EB">
        <w:rPr>
          <w:b/>
          <w:bCs/>
          <w:color w:val="002060"/>
        </w:rPr>
        <w:t>La sospensione delle attività</w:t>
      </w:r>
      <w:r w:rsidRPr="000708EB">
        <w:rPr>
          <w:color w:val="002060"/>
        </w:rPr>
        <w:t xml:space="preserve"> nel biennio 2007-2008 è costata, paradossalmente, 160,612 milioni. Nel 2008 sono iniziate le attività per gli accordi con i contraenti, l'aggiornamento delle convenzioni e il piano finanziario terminate l'anno successivo, che hanno comportato un esborso di 172,637 milioni. </w:t>
      </w:r>
      <w:r w:rsidR="00B45E80" w:rsidRPr="000708EB">
        <w:rPr>
          <w:color w:val="002060"/>
        </w:rPr>
        <w:t>T</w:t>
      </w:r>
      <w:r w:rsidRPr="000708EB">
        <w:rPr>
          <w:color w:val="002060"/>
        </w:rPr>
        <w:t>ra il 2010 e il 2013 la Stretto di Messina ha speso 312,355 milioni</w:t>
      </w:r>
      <w:r w:rsidR="00B45E80" w:rsidRPr="000708EB">
        <w:rPr>
          <w:color w:val="002060"/>
        </w:rPr>
        <w:t>: l</w:t>
      </w:r>
      <w:r w:rsidRPr="000708EB">
        <w:rPr>
          <w:color w:val="002060"/>
        </w:rPr>
        <w:t xml:space="preserve">e causali sono la stesura del progetto definitivo, </w:t>
      </w:r>
      <w:r w:rsidRPr="000708EB">
        <w:rPr>
          <w:color w:val="002060"/>
        </w:rPr>
        <w:lastRenderedPageBreak/>
        <w:t>il monitoraggio ambientale, l'aggiornamento del piano finanziario e la stipula dell'atto aggiuntivo. Nel 2013 è stata decisa la liquidazione della società, che è costata quasi due milioni l'anno nel 2014 e 2015 e 1,5 milioni per il 2016. Ancora oggi la società è attaccata al respiratore artificiale di un commissario liquidatore che percepisce un compenso annuo di 160 mila euro</w:t>
      </w:r>
      <w:r w:rsidR="00CE6F00" w:rsidRPr="000708EB">
        <w:rPr>
          <w:color w:val="002060"/>
        </w:rPr>
        <w:t xml:space="preserve"> oltre alle spese legali di un contenzioso giudiziario con </w:t>
      </w:r>
      <w:r w:rsidR="00FF507D" w:rsidRPr="000708EB">
        <w:rPr>
          <w:color w:val="002060"/>
        </w:rPr>
        <w:t xml:space="preserve">l’affidataria dei lavori </w:t>
      </w:r>
      <w:proofErr w:type="spellStart"/>
      <w:r w:rsidR="00CE6F00" w:rsidRPr="000708EB">
        <w:rPr>
          <w:color w:val="002060"/>
        </w:rPr>
        <w:t>Eurolink</w:t>
      </w:r>
      <w:proofErr w:type="spellEnd"/>
      <w:r w:rsidRPr="000708EB">
        <w:rPr>
          <w:color w:val="002060"/>
        </w:rPr>
        <w:t xml:space="preserve">. </w:t>
      </w:r>
      <w:r w:rsidR="00CE6F00" w:rsidRPr="000708EB">
        <w:rPr>
          <w:color w:val="002060"/>
        </w:rPr>
        <w:t>La causa è ancora in corso</w:t>
      </w:r>
      <w:r w:rsidR="000B5B8C" w:rsidRPr="000708EB">
        <w:rPr>
          <w:color w:val="002060"/>
        </w:rPr>
        <w:t xml:space="preserve">. </w:t>
      </w:r>
    </w:p>
    <w:p w:rsidR="00CE6F00" w:rsidRPr="000708EB" w:rsidRDefault="00CE6F00" w:rsidP="00DF1EBA">
      <w:pPr>
        <w:jc w:val="both"/>
        <w:rPr>
          <w:b/>
          <w:color w:val="002060"/>
        </w:rPr>
      </w:pPr>
    </w:p>
    <w:p w:rsidR="00CE6F00" w:rsidRPr="000708EB" w:rsidRDefault="00CE6F00" w:rsidP="00DF1EBA">
      <w:pPr>
        <w:jc w:val="both"/>
        <w:rPr>
          <w:b/>
          <w:color w:val="002060"/>
        </w:rPr>
      </w:pPr>
    </w:p>
    <w:p w:rsidR="00CE6F00" w:rsidRPr="000708EB" w:rsidRDefault="00CE6F00" w:rsidP="00DF1EBA">
      <w:pPr>
        <w:jc w:val="both"/>
        <w:rPr>
          <w:b/>
          <w:color w:val="002060"/>
        </w:rPr>
      </w:pPr>
    </w:p>
    <w:p w:rsidR="00CE6F00" w:rsidRPr="000708EB" w:rsidRDefault="00CE6F00" w:rsidP="00DF1EBA">
      <w:pPr>
        <w:jc w:val="both"/>
        <w:rPr>
          <w:b/>
          <w:color w:val="002060"/>
        </w:rPr>
      </w:pPr>
    </w:p>
    <w:p w:rsidR="00CE6F00" w:rsidRPr="000708EB" w:rsidRDefault="00CE6F00" w:rsidP="00DF1EBA">
      <w:pPr>
        <w:jc w:val="both"/>
        <w:rPr>
          <w:b/>
          <w:color w:val="002060"/>
        </w:rPr>
      </w:pPr>
    </w:p>
    <w:p w:rsidR="00CE6F00" w:rsidRPr="000708EB" w:rsidRDefault="00CE6F00" w:rsidP="00DF1EBA">
      <w:pPr>
        <w:jc w:val="both"/>
        <w:rPr>
          <w:b/>
          <w:color w:val="002060"/>
        </w:rPr>
      </w:pPr>
    </w:p>
    <w:p w:rsidR="00CE6F00" w:rsidRPr="000708EB" w:rsidRDefault="00CE6F00" w:rsidP="00DF1EBA">
      <w:pPr>
        <w:jc w:val="both"/>
        <w:rPr>
          <w:b/>
          <w:color w:val="002060"/>
        </w:rPr>
      </w:pPr>
    </w:p>
    <w:p w:rsidR="00CE6F00" w:rsidRPr="000708EB" w:rsidRDefault="00CE6F00" w:rsidP="00DF1EBA">
      <w:pPr>
        <w:jc w:val="both"/>
        <w:rPr>
          <w:b/>
          <w:color w:val="002060"/>
        </w:rPr>
      </w:pPr>
    </w:p>
    <w:p w:rsidR="00CE6F00" w:rsidRPr="000708EB" w:rsidRDefault="00CE6F00" w:rsidP="00DF1EBA">
      <w:pPr>
        <w:jc w:val="both"/>
        <w:rPr>
          <w:b/>
          <w:color w:val="002060"/>
        </w:rPr>
      </w:pPr>
    </w:p>
    <w:p w:rsidR="00CE6F00" w:rsidRPr="000708EB" w:rsidRDefault="00CE6F00" w:rsidP="00DF1EBA">
      <w:pPr>
        <w:jc w:val="both"/>
        <w:rPr>
          <w:b/>
          <w:color w:val="002060"/>
        </w:rPr>
      </w:pPr>
    </w:p>
    <w:p w:rsidR="00CE6F00" w:rsidRPr="000708EB" w:rsidRDefault="00CE6F00" w:rsidP="00DF1EBA">
      <w:pPr>
        <w:jc w:val="both"/>
        <w:rPr>
          <w:b/>
          <w:color w:val="002060"/>
        </w:rPr>
      </w:pPr>
    </w:p>
    <w:p w:rsidR="00CE6F00" w:rsidRPr="000708EB" w:rsidRDefault="00CE6F00" w:rsidP="00DF1EBA">
      <w:pPr>
        <w:jc w:val="both"/>
        <w:rPr>
          <w:b/>
          <w:color w:val="002060"/>
        </w:rPr>
      </w:pPr>
    </w:p>
    <w:p w:rsidR="00CE6F00" w:rsidRPr="000708EB" w:rsidRDefault="00CE6F00" w:rsidP="00DF1EBA">
      <w:pPr>
        <w:jc w:val="both"/>
        <w:rPr>
          <w:b/>
          <w:color w:val="002060"/>
        </w:rPr>
      </w:pPr>
    </w:p>
    <w:p w:rsidR="00CE6F00" w:rsidRPr="000708EB" w:rsidRDefault="00CE6F00" w:rsidP="00C505F5">
      <w:pPr>
        <w:rPr>
          <w:b/>
          <w:color w:val="002060"/>
        </w:rPr>
      </w:pPr>
    </w:p>
    <w:p w:rsidR="00CE6F00" w:rsidRPr="000708EB" w:rsidRDefault="00CE6F00" w:rsidP="00C505F5">
      <w:pPr>
        <w:rPr>
          <w:b/>
          <w:color w:val="002060"/>
        </w:rPr>
      </w:pPr>
    </w:p>
    <w:p w:rsidR="00CE6F00" w:rsidRPr="000708EB" w:rsidRDefault="00CE6F00" w:rsidP="00C505F5">
      <w:pPr>
        <w:rPr>
          <w:b/>
          <w:color w:val="002060"/>
        </w:rPr>
      </w:pPr>
    </w:p>
    <w:p w:rsidR="00CE6F00" w:rsidRPr="000708EB" w:rsidRDefault="00CE6F00" w:rsidP="00C505F5">
      <w:pPr>
        <w:rPr>
          <w:b/>
          <w:color w:val="002060"/>
        </w:rPr>
      </w:pPr>
    </w:p>
    <w:p w:rsidR="00CE6F00" w:rsidRPr="000708EB" w:rsidRDefault="00CE6F00" w:rsidP="00C505F5">
      <w:pPr>
        <w:rPr>
          <w:b/>
          <w:color w:val="002060"/>
        </w:rPr>
      </w:pPr>
    </w:p>
    <w:p w:rsidR="00CE6F00" w:rsidRPr="000708EB" w:rsidRDefault="00CE6F00" w:rsidP="00C505F5">
      <w:pPr>
        <w:rPr>
          <w:b/>
          <w:color w:val="002060"/>
        </w:rPr>
      </w:pPr>
    </w:p>
    <w:p w:rsidR="00CE6F00" w:rsidRPr="000708EB" w:rsidRDefault="00CE6F00" w:rsidP="00C505F5">
      <w:pPr>
        <w:rPr>
          <w:b/>
          <w:color w:val="002060"/>
        </w:rPr>
      </w:pPr>
    </w:p>
    <w:p w:rsidR="00CE6F00" w:rsidRPr="000708EB" w:rsidRDefault="00CE6F00" w:rsidP="00C505F5">
      <w:pPr>
        <w:rPr>
          <w:b/>
          <w:color w:val="002060"/>
        </w:rPr>
      </w:pPr>
    </w:p>
    <w:p w:rsidR="00CE6F00" w:rsidRPr="000708EB" w:rsidRDefault="00CE6F00" w:rsidP="00C505F5">
      <w:pPr>
        <w:rPr>
          <w:b/>
          <w:color w:val="002060"/>
        </w:rPr>
      </w:pPr>
    </w:p>
    <w:p w:rsidR="000B5B8C" w:rsidRPr="000708EB" w:rsidRDefault="000B5B8C" w:rsidP="00C505F5">
      <w:pPr>
        <w:rPr>
          <w:b/>
          <w:color w:val="002060"/>
        </w:rPr>
      </w:pPr>
      <w:r w:rsidRPr="000708EB">
        <w:rPr>
          <w:b/>
          <w:color w:val="002060"/>
        </w:rPr>
        <w:lastRenderedPageBreak/>
        <w:t>NEL MONDO</w:t>
      </w:r>
    </w:p>
    <w:p w:rsidR="000B5B8C" w:rsidRPr="000708EB" w:rsidRDefault="000B5B8C" w:rsidP="00C505F5">
      <w:pPr>
        <w:rPr>
          <w:color w:val="002060"/>
        </w:rPr>
      </w:pPr>
    </w:p>
    <w:tbl>
      <w:tblPr>
        <w:tblStyle w:val="Grigliatabella"/>
        <w:tblW w:w="0" w:type="auto"/>
        <w:tblLayout w:type="fixed"/>
        <w:tblLook w:val="04A0" w:firstRow="1" w:lastRow="0" w:firstColumn="1" w:lastColumn="0" w:noHBand="0" w:noVBand="1"/>
      </w:tblPr>
      <w:tblGrid>
        <w:gridCol w:w="1129"/>
        <w:gridCol w:w="1134"/>
        <w:gridCol w:w="993"/>
        <w:gridCol w:w="1275"/>
        <w:gridCol w:w="1134"/>
        <w:gridCol w:w="993"/>
        <w:gridCol w:w="1633"/>
        <w:gridCol w:w="1337"/>
      </w:tblGrid>
      <w:tr w:rsidR="000708EB" w:rsidRPr="000708EB" w:rsidTr="00E331B7">
        <w:tc>
          <w:tcPr>
            <w:tcW w:w="1129" w:type="dxa"/>
          </w:tcPr>
          <w:p w:rsidR="000B5B8C" w:rsidRPr="000708EB" w:rsidRDefault="000B5B8C" w:rsidP="000B5B8C">
            <w:pPr>
              <w:spacing w:after="160" w:line="259" w:lineRule="auto"/>
              <w:rPr>
                <w:color w:val="002060"/>
              </w:rPr>
            </w:pPr>
          </w:p>
        </w:tc>
        <w:tc>
          <w:tcPr>
            <w:tcW w:w="1134" w:type="dxa"/>
          </w:tcPr>
          <w:p w:rsidR="000B5B8C" w:rsidRPr="000708EB" w:rsidRDefault="000B5B8C" w:rsidP="000B5B8C">
            <w:pPr>
              <w:rPr>
                <w:color w:val="002060"/>
              </w:rPr>
            </w:pPr>
          </w:p>
        </w:tc>
        <w:tc>
          <w:tcPr>
            <w:tcW w:w="993" w:type="dxa"/>
          </w:tcPr>
          <w:p w:rsidR="000B5B8C" w:rsidRPr="000708EB" w:rsidRDefault="000B5B8C" w:rsidP="000B5B8C">
            <w:pPr>
              <w:spacing w:after="160" w:line="259" w:lineRule="auto"/>
              <w:rPr>
                <w:color w:val="002060"/>
              </w:rPr>
            </w:pPr>
          </w:p>
        </w:tc>
        <w:tc>
          <w:tcPr>
            <w:tcW w:w="1275" w:type="dxa"/>
          </w:tcPr>
          <w:p w:rsidR="000B5B8C" w:rsidRPr="000708EB" w:rsidRDefault="000B5B8C" w:rsidP="000B5B8C">
            <w:pPr>
              <w:spacing w:after="160" w:line="259" w:lineRule="auto"/>
              <w:rPr>
                <w:color w:val="002060"/>
              </w:rPr>
            </w:pPr>
          </w:p>
        </w:tc>
        <w:tc>
          <w:tcPr>
            <w:tcW w:w="1134" w:type="dxa"/>
          </w:tcPr>
          <w:p w:rsidR="000B5B8C" w:rsidRPr="000708EB" w:rsidRDefault="000B5B8C" w:rsidP="000B5B8C">
            <w:pPr>
              <w:spacing w:after="160" w:line="259" w:lineRule="auto"/>
              <w:rPr>
                <w:color w:val="002060"/>
              </w:rPr>
            </w:pPr>
          </w:p>
        </w:tc>
        <w:tc>
          <w:tcPr>
            <w:tcW w:w="993" w:type="dxa"/>
          </w:tcPr>
          <w:p w:rsidR="000B5B8C" w:rsidRPr="000708EB" w:rsidRDefault="000B5B8C" w:rsidP="000B5B8C">
            <w:pPr>
              <w:spacing w:after="160" w:line="259" w:lineRule="auto"/>
              <w:rPr>
                <w:color w:val="002060"/>
              </w:rPr>
            </w:pPr>
          </w:p>
        </w:tc>
        <w:tc>
          <w:tcPr>
            <w:tcW w:w="1633" w:type="dxa"/>
          </w:tcPr>
          <w:p w:rsidR="000B5B8C" w:rsidRPr="000708EB" w:rsidRDefault="000B5B8C" w:rsidP="000B5B8C">
            <w:pPr>
              <w:spacing w:after="160" w:line="259" w:lineRule="auto"/>
              <w:rPr>
                <w:color w:val="002060"/>
              </w:rPr>
            </w:pPr>
          </w:p>
        </w:tc>
        <w:tc>
          <w:tcPr>
            <w:tcW w:w="1337" w:type="dxa"/>
          </w:tcPr>
          <w:p w:rsidR="000B5B8C" w:rsidRPr="000708EB" w:rsidRDefault="000B5B8C" w:rsidP="000B5B8C">
            <w:pPr>
              <w:spacing w:after="160" w:line="259" w:lineRule="auto"/>
              <w:rPr>
                <w:color w:val="002060"/>
              </w:rPr>
            </w:pPr>
          </w:p>
        </w:tc>
      </w:tr>
      <w:tr w:rsidR="000708EB" w:rsidRPr="000708EB" w:rsidTr="00E331B7">
        <w:tc>
          <w:tcPr>
            <w:tcW w:w="1129" w:type="dxa"/>
          </w:tcPr>
          <w:p w:rsidR="000B5B8C" w:rsidRPr="000708EB" w:rsidRDefault="000B5B8C" w:rsidP="000B5B8C">
            <w:pPr>
              <w:spacing w:after="160" w:line="259" w:lineRule="auto"/>
              <w:rPr>
                <w:color w:val="002060"/>
                <w:sz w:val="24"/>
                <w:szCs w:val="24"/>
              </w:rPr>
            </w:pPr>
            <w:r w:rsidRPr="000708EB">
              <w:rPr>
                <w:color w:val="002060"/>
                <w:sz w:val="24"/>
                <w:szCs w:val="24"/>
              </w:rPr>
              <w:t>Ponte</w:t>
            </w:r>
          </w:p>
        </w:tc>
        <w:tc>
          <w:tcPr>
            <w:tcW w:w="1134" w:type="dxa"/>
          </w:tcPr>
          <w:p w:rsidR="000B5B8C" w:rsidRPr="000708EB" w:rsidRDefault="000B5B8C" w:rsidP="000B5B8C">
            <w:pPr>
              <w:rPr>
                <w:color w:val="002060"/>
                <w:sz w:val="24"/>
                <w:szCs w:val="24"/>
              </w:rPr>
            </w:pPr>
            <w:r w:rsidRPr="000708EB">
              <w:rPr>
                <w:color w:val="002060"/>
                <w:sz w:val="24"/>
                <w:szCs w:val="24"/>
              </w:rPr>
              <w:t>Costo</w:t>
            </w:r>
          </w:p>
        </w:tc>
        <w:tc>
          <w:tcPr>
            <w:tcW w:w="993" w:type="dxa"/>
          </w:tcPr>
          <w:p w:rsidR="000B5B8C" w:rsidRPr="000708EB" w:rsidRDefault="000B5B8C" w:rsidP="000B5B8C">
            <w:pPr>
              <w:spacing w:after="160" w:line="259" w:lineRule="auto"/>
              <w:rPr>
                <w:color w:val="002060"/>
                <w:sz w:val="24"/>
                <w:szCs w:val="24"/>
              </w:rPr>
            </w:pPr>
            <w:r w:rsidRPr="000708EB">
              <w:rPr>
                <w:color w:val="002060"/>
                <w:sz w:val="24"/>
                <w:szCs w:val="24"/>
              </w:rPr>
              <w:t>Avvio lavori</w:t>
            </w:r>
          </w:p>
        </w:tc>
        <w:tc>
          <w:tcPr>
            <w:tcW w:w="1275" w:type="dxa"/>
          </w:tcPr>
          <w:p w:rsidR="000B5B8C" w:rsidRPr="000708EB" w:rsidRDefault="000B5B8C" w:rsidP="000B5B8C">
            <w:pPr>
              <w:spacing w:after="160" w:line="259" w:lineRule="auto"/>
              <w:rPr>
                <w:color w:val="002060"/>
                <w:sz w:val="24"/>
                <w:szCs w:val="24"/>
              </w:rPr>
            </w:pPr>
            <w:r w:rsidRPr="000708EB">
              <w:rPr>
                <w:color w:val="002060"/>
                <w:sz w:val="24"/>
                <w:szCs w:val="24"/>
              </w:rPr>
              <w:t>Consegna</w:t>
            </w:r>
          </w:p>
          <w:p w:rsidR="000B5B8C" w:rsidRPr="000708EB" w:rsidRDefault="000B5B8C" w:rsidP="000B5B8C">
            <w:pPr>
              <w:spacing w:after="160" w:line="259" w:lineRule="auto"/>
              <w:rPr>
                <w:color w:val="002060"/>
                <w:sz w:val="24"/>
                <w:szCs w:val="24"/>
              </w:rPr>
            </w:pPr>
          </w:p>
        </w:tc>
        <w:tc>
          <w:tcPr>
            <w:tcW w:w="1134" w:type="dxa"/>
          </w:tcPr>
          <w:p w:rsidR="000B5B8C" w:rsidRPr="000708EB" w:rsidRDefault="000B5B8C" w:rsidP="000B5B8C">
            <w:pPr>
              <w:spacing w:after="160" w:line="259" w:lineRule="auto"/>
              <w:rPr>
                <w:color w:val="002060"/>
                <w:sz w:val="24"/>
                <w:szCs w:val="24"/>
              </w:rPr>
            </w:pPr>
            <w:r w:rsidRPr="000708EB">
              <w:rPr>
                <w:color w:val="002060"/>
                <w:sz w:val="24"/>
                <w:szCs w:val="24"/>
              </w:rPr>
              <w:t>Anni di cantiere</w:t>
            </w:r>
          </w:p>
        </w:tc>
        <w:tc>
          <w:tcPr>
            <w:tcW w:w="993" w:type="dxa"/>
          </w:tcPr>
          <w:p w:rsidR="000B5B8C" w:rsidRPr="000708EB" w:rsidRDefault="000B5B8C" w:rsidP="000B5B8C">
            <w:pPr>
              <w:spacing w:after="160" w:line="259" w:lineRule="auto"/>
              <w:rPr>
                <w:color w:val="002060"/>
                <w:sz w:val="24"/>
                <w:szCs w:val="24"/>
              </w:rPr>
            </w:pPr>
            <w:r w:rsidRPr="000708EB">
              <w:rPr>
                <w:color w:val="002060"/>
                <w:sz w:val="24"/>
                <w:szCs w:val="24"/>
              </w:rPr>
              <w:t>Paese</w:t>
            </w:r>
          </w:p>
        </w:tc>
        <w:tc>
          <w:tcPr>
            <w:tcW w:w="1633" w:type="dxa"/>
          </w:tcPr>
          <w:p w:rsidR="000B5B8C" w:rsidRPr="000708EB" w:rsidRDefault="000B5B8C" w:rsidP="000B5B8C">
            <w:pPr>
              <w:spacing w:after="160" w:line="259" w:lineRule="auto"/>
              <w:rPr>
                <w:color w:val="002060"/>
                <w:sz w:val="24"/>
                <w:szCs w:val="24"/>
              </w:rPr>
            </w:pPr>
            <w:r w:rsidRPr="000708EB">
              <w:rPr>
                <w:color w:val="002060"/>
                <w:sz w:val="24"/>
                <w:szCs w:val="24"/>
              </w:rPr>
              <w:t>Lunghezza</w:t>
            </w:r>
          </w:p>
        </w:tc>
        <w:tc>
          <w:tcPr>
            <w:tcW w:w="1337" w:type="dxa"/>
          </w:tcPr>
          <w:p w:rsidR="000B5B8C" w:rsidRPr="000708EB" w:rsidRDefault="000B5B8C" w:rsidP="000B5B8C">
            <w:pPr>
              <w:spacing w:after="160" w:line="259" w:lineRule="auto"/>
              <w:rPr>
                <w:color w:val="002060"/>
                <w:sz w:val="24"/>
                <w:szCs w:val="24"/>
              </w:rPr>
            </w:pPr>
            <w:r w:rsidRPr="000708EB">
              <w:rPr>
                <w:color w:val="002060"/>
                <w:sz w:val="24"/>
                <w:szCs w:val="24"/>
              </w:rPr>
              <w:t>Campata principale</w:t>
            </w:r>
          </w:p>
        </w:tc>
      </w:tr>
      <w:tr w:rsidR="000708EB" w:rsidRPr="000708EB" w:rsidTr="00E331B7">
        <w:tc>
          <w:tcPr>
            <w:tcW w:w="1129" w:type="dxa"/>
          </w:tcPr>
          <w:p w:rsidR="000B5B8C" w:rsidRPr="000708EB" w:rsidRDefault="000B5B8C" w:rsidP="000B5B8C">
            <w:pPr>
              <w:spacing w:after="160" w:line="259" w:lineRule="auto"/>
              <w:rPr>
                <w:color w:val="002060"/>
              </w:rPr>
            </w:pPr>
            <w:r w:rsidRPr="000708EB">
              <w:rPr>
                <w:color w:val="002060"/>
              </w:rPr>
              <w:t>Akashi</w:t>
            </w:r>
          </w:p>
        </w:tc>
        <w:tc>
          <w:tcPr>
            <w:tcW w:w="1134" w:type="dxa"/>
          </w:tcPr>
          <w:p w:rsidR="000B5B8C" w:rsidRPr="000708EB" w:rsidRDefault="000B5B8C" w:rsidP="000B5B8C">
            <w:pPr>
              <w:rPr>
                <w:color w:val="002060"/>
                <w:sz w:val="20"/>
                <w:szCs w:val="20"/>
              </w:rPr>
            </w:pPr>
            <w:r w:rsidRPr="000708EB">
              <w:rPr>
                <w:color w:val="002060"/>
                <w:sz w:val="20"/>
                <w:szCs w:val="20"/>
              </w:rPr>
              <w:t xml:space="preserve">3,6 miliardi di dollari </w:t>
            </w:r>
          </w:p>
        </w:tc>
        <w:tc>
          <w:tcPr>
            <w:tcW w:w="993" w:type="dxa"/>
          </w:tcPr>
          <w:p w:rsidR="000B5B8C" w:rsidRPr="000708EB" w:rsidRDefault="000B5B8C" w:rsidP="000B5B8C">
            <w:pPr>
              <w:spacing w:after="160" w:line="259" w:lineRule="auto"/>
              <w:rPr>
                <w:color w:val="002060"/>
              </w:rPr>
            </w:pPr>
            <w:r w:rsidRPr="000708EB">
              <w:rPr>
                <w:color w:val="002060"/>
              </w:rPr>
              <w:t>1988</w:t>
            </w:r>
          </w:p>
        </w:tc>
        <w:tc>
          <w:tcPr>
            <w:tcW w:w="1275" w:type="dxa"/>
          </w:tcPr>
          <w:p w:rsidR="000B5B8C" w:rsidRPr="000708EB" w:rsidRDefault="000B5B8C" w:rsidP="000B5B8C">
            <w:pPr>
              <w:spacing w:after="160" w:line="259" w:lineRule="auto"/>
              <w:rPr>
                <w:color w:val="002060"/>
              </w:rPr>
            </w:pPr>
            <w:r w:rsidRPr="000708EB">
              <w:rPr>
                <w:color w:val="002060"/>
              </w:rPr>
              <w:t>1998</w:t>
            </w:r>
          </w:p>
        </w:tc>
        <w:tc>
          <w:tcPr>
            <w:tcW w:w="1134" w:type="dxa"/>
          </w:tcPr>
          <w:p w:rsidR="000B5B8C" w:rsidRPr="000708EB" w:rsidRDefault="000B5B8C" w:rsidP="000B5B8C">
            <w:pPr>
              <w:spacing w:after="160" w:line="259" w:lineRule="auto"/>
              <w:rPr>
                <w:color w:val="002060"/>
              </w:rPr>
            </w:pPr>
            <w:r w:rsidRPr="000708EB">
              <w:rPr>
                <w:color w:val="002060"/>
              </w:rPr>
              <w:t>10</w:t>
            </w:r>
          </w:p>
        </w:tc>
        <w:tc>
          <w:tcPr>
            <w:tcW w:w="993" w:type="dxa"/>
          </w:tcPr>
          <w:p w:rsidR="000B5B8C" w:rsidRPr="000708EB" w:rsidRDefault="000B5B8C" w:rsidP="000B5B8C">
            <w:pPr>
              <w:spacing w:after="160" w:line="259" w:lineRule="auto"/>
              <w:rPr>
                <w:color w:val="002060"/>
              </w:rPr>
            </w:pPr>
            <w:r w:rsidRPr="000708EB">
              <w:rPr>
                <w:color w:val="002060"/>
              </w:rPr>
              <w:t>Giappone</w:t>
            </w:r>
          </w:p>
        </w:tc>
        <w:tc>
          <w:tcPr>
            <w:tcW w:w="1633" w:type="dxa"/>
          </w:tcPr>
          <w:p w:rsidR="000B5B8C" w:rsidRPr="000708EB" w:rsidRDefault="000B5B8C" w:rsidP="000B5B8C">
            <w:pPr>
              <w:spacing w:after="160" w:line="259" w:lineRule="auto"/>
              <w:rPr>
                <w:color w:val="002060"/>
              </w:rPr>
            </w:pPr>
            <w:r w:rsidRPr="000708EB">
              <w:rPr>
                <w:color w:val="002060"/>
              </w:rPr>
              <w:t>3.911 mt</w:t>
            </w:r>
          </w:p>
        </w:tc>
        <w:tc>
          <w:tcPr>
            <w:tcW w:w="1337" w:type="dxa"/>
          </w:tcPr>
          <w:p w:rsidR="000B5B8C" w:rsidRPr="000708EB" w:rsidRDefault="000B5B8C" w:rsidP="000B5B8C">
            <w:pPr>
              <w:spacing w:after="160" w:line="259" w:lineRule="auto"/>
              <w:rPr>
                <w:color w:val="002060"/>
              </w:rPr>
            </w:pPr>
            <w:r w:rsidRPr="000708EB">
              <w:rPr>
                <w:color w:val="002060"/>
              </w:rPr>
              <w:t>1.991</w:t>
            </w:r>
          </w:p>
        </w:tc>
      </w:tr>
      <w:tr w:rsidR="000708EB" w:rsidRPr="000708EB" w:rsidTr="00E331B7">
        <w:tc>
          <w:tcPr>
            <w:tcW w:w="1129" w:type="dxa"/>
          </w:tcPr>
          <w:p w:rsidR="000B5B8C" w:rsidRPr="000708EB" w:rsidRDefault="000B5B8C" w:rsidP="000B5B8C">
            <w:pPr>
              <w:spacing w:after="160" w:line="259" w:lineRule="auto"/>
              <w:rPr>
                <w:color w:val="002060"/>
              </w:rPr>
            </w:pPr>
            <w:proofErr w:type="spellStart"/>
            <w:r w:rsidRPr="000708EB">
              <w:rPr>
                <w:color w:val="002060"/>
              </w:rPr>
              <w:t>Nansha</w:t>
            </w:r>
            <w:proofErr w:type="spellEnd"/>
          </w:p>
        </w:tc>
        <w:tc>
          <w:tcPr>
            <w:tcW w:w="1134" w:type="dxa"/>
          </w:tcPr>
          <w:p w:rsidR="000B5B8C" w:rsidRPr="000708EB" w:rsidRDefault="000B5B8C" w:rsidP="000B5B8C">
            <w:pPr>
              <w:rPr>
                <w:color w:val="002060"/>
                <w:sz w:val="22"/>
                <w:szCs w:val="22"/>
              </w:rPr>
            </w:pPr>
            <w:r w:rsidRPr="000708EB">
              <w:rPr>
                <w:color w:val="002060"/>
                <w:sz w:val="22"/>
                <w:szCs w:val="22"/>
              </w:rPr>
              <w:t>370 milioni di dollari</w:t>
            </w:r>
          </w:p>
        </w:tc>
        <w:tc>
          <w:tcPr>
            <w:tcW w:w="993" w:type="dxa"/>
          </w:tcPr>
          <w:p w:rsidR="000B5B8C" w:rsidRPr="000708EB" w:rsidRDefault="000B5B8C" w:rsidP="000B5B8C">
            <w:pPr>
              <w:spacing w:after="160" w:line="259" w:lineRule="auto"/>
              <w:rPr>
                <w:color w:val="002060"/>
              </w:rPr>
            </w:pPr>
            <w:r w:rsidRPr="000708EB">
              <w:rPr>
                <w:color w:val="002060"/>
              </w:rPr>
              <w:t>2013</w:t>
            </w:r>
          </w:p>
        </w:tc>
        <w:tc>
          <w:tcPr>
            <w:tcW w:w="1275" w:type="dxa"/>
          </w:tcPr>
          <w:p w:rsidR="000B5B8C" w:rsidRPr="000708EB" w:rsidRDefault="000B5B8C" w:rsidP="000B5B8C">
            <w:pPr>
              <w:spacing w:after="160" w:line="259" w:lineRule="auto"/>
              <w:rPr>
                <w:color w:val="002060"/>
              </w:rPr>
            </w:pPr>
            <w:r w:rsidRPr="000708EB">
              <w:rPr>
                <w:color w:val="002060"/>
              </w:rPr>
              <w:t>2019</w:t>
            </w:r>
          </w:p>
        </w:tc>
        <w:tc>
          <w:tcPr>
            <w:tcW w:w="1134" w:type="dxa"/>
          </w:tcPr>
          <w:p w:rsidR="000B5B8C" w:rsidRPr="000708EB" w:rsidRDefault="000B5B8C" w:rsidP="000B5B8C">
            <w:pPr>
              <w:spacing w:after="160" w:line="259" w:lineRule="auto"/>
              <w:rPr>
                <w:color w:val="002060"/>
              </w:rPr>
            </w:pPr>
            <w:r w:rsidRPr="000708EB">
              <w:rPr>
                <w:color w:val="002060"/>
              </w:rPr>
              <w:t>6</w:t>
            </w:r>
          </w:p>
        </w:tc>
        <w:tc>
          <w:tcPr>
            <w:tcW w:w="993" w:type="dxa"/>
          </w:tcPr>
          <w:p w:rsidR="000B5B8C" w:rsidRPr="000708EB" w:rsidRDefault="000B5B8C" w:rsidP="000B5B8C">
            <w:pPr>
              <w:spacing w:after="160" w:line="259" w:lineRule="auto"/>
              <w:rPr>
                <w:color w:val="002060"/>
              </w:rPr>
            </w:pPr>
            <w:r w:rsidRPr="000708EB">
              <w:rPr>
                <w:color w:val="002060"/>
              </w:rPr>
              <w:t>Cina</w:t>
            </w:r>
          </w:p>
        </w:tc>
        <w:tc>
          <w:tcPr>
            <w:tcW w:w="1633" w:type="dxa"/>
          </w:tcPr>
          <w:p w:rsidR="000B5B8C" w:rsidRPr="000708EB" w:rsidRDefault="000B5B8C" w:rsidP="000B5B8C">
            <w:pPr>
              <w:spacing w:after="160" w:line="259" w:lineRule="auto"/>
              <w:rPr>
                <w:color w:val="002060"/>
              </w:rPr>
            </w:pPr>
            <w:r w:rsidRPr="000708EB">
              <w:rPr>
                <w:color w:val="002060"/>
              </w:rPr>
              <w:t>12.891</w:t>
            </w:r>
          </w:p>
        </w:tc>
        <w:tc>
          <w:tcPr>
            <w:tcW w:w="1337" w:type="dxa"/>
          </w:tcPr>
          <w:p w:rsidR="000B5B8C" w:rsidRPr="000708EB" w:rsidRDefault="000B5B8C" w:rsidP="000B5B8C">
            <w:pPr>
              <w:spacing w:after="160" w:line="259" w:lineRule="auto"/>
              <w:rPr>
                <w:color w:val="002060"/>
              </w:rPr>
            </w:pPr>
            <w:r w:rsidRPr="000708EB">
              <w:rPr>
                <w:color w:val="002060"/>
              </w:rPr>
              <w:t>1.688</w:t>
            </w:r>
          </w:p>
        </w:tc>
      </w:tr>
      <w:tr w:rsidR="000708EB" w:rsidRPr="000708EB" w:rsidTr="00E331B7">
        <w:tc>
          <w:tcPr>
            <w:tcW w:w="1129" w:type="dxa"/>
          </w:tcPr>
          <w:p w:rsidR="000B5B8C" w:rsidRPr="000708EB" w:rsidRDefault="000B5B8C" w:rsidP="000B5B8C">
            <w:pPr>
              <w:spacing w:after="160" w:line="259" w:lineRule="auto"/>
              <w:rPr>
                <w:color w:val="002060"/>
              </w:rPr>
            </w:pPr>
            <w:r w:rsidRPr="000708EB">
              <w:rPr>
                <w:color w:val="002060"/>
              </w:rPr>
              <w:t xml:space="preserve">Grande </w:t>
            </w:r>
            <w:proofErr w:type="spellStart"/>
            <w:r w:rsidRPr="000708EB">
              <w:rPr>
                <w:color w:val="002060"/>
              </w:rPr>
              <w:t>Belt</w:t>
            </w:r>
            <w:proofErr w:type="spellEnd"/>
          </w:p>
        </w:tc>
        <w:tc>
          <w:tcPr>
            <w:tcW w:w="1134" w:type="dxa"/>
          </w:tcPr>
          <w:p w:rsidR="00E81971" w:rsidRPr="000708EB" w:rsidRDefault="00E81971" w:rsidP="000B5B8C">
            <w:pPr>
              <w:rPr>
                <w:color w:val="002060"/>
                <w:sz w:val="20"/>
                <w:szCs w:val="20"/>
              </w:rPr>
            </w:pPr>
            <w:r w:rsidRPr="000708EB">
              <w:rPr>
                <w:color w:val="002060"/>
                <w:sz w:val="20"/>
                <w:szCs w:val="20"/>
              </w:rPr>
              <w:t>21.4 miliardi di Corone danesi dell'epoca</w:t>
            </w:r>
          </w:p>
          <w:p w:rsidR="000B5B8C" w:rsidRPr="000708EB" w:rsidRDefault="00E81971" w:rsidP="000B5B8C">
            <w:pPr>
              <w:rPr>
                <w:color w:val="002060"/>
              </w:rPr>
            </w:pPr>
            <w:r w:rsidRPr="000708EB">
              <w:rPr>
                <w:color w:val="002060"/>
                <w:sz w:val="20"/>
                <w:szCs w:val="20"/>
              </w:rPr>
              <w:t>4 miliardi di euro</w:t>
            </w:r>
          </w:p>
        </w:tc>
        <w:tc>
          <w:tcPr>
            <w:tcW w:w="993" w:type="dxa"/>
          </w:tcPr>
          <w:p w:rsidR="000B5B8C" w:rsidRPr="000708EB" w:rsidRDefault="000B5B8C" w:rsidP="000B5B8C">
            <w:pPr>
              <w:spacing w:after="160" w:line="259" w:lineRule="auto"/>
              <w:rPr>
                <w:color w:val="002060"/>
              </w:rPr>
            </w:pPr>
            <w:r w:rsidRPr="000708EB">
              <w:rPr>
                <w:color w:val="002060"/>
              </w:rPr>
              <w:t>1988</w:t>
            </w:r>
          </w:p>
        </w:tc>
        <w:tc>
          <w:tcPr>
            <w:tcW w:w="1275" w:type="dxa"/>
          </w:tcPr>
          <w:p w:rsidR="000B5B8C" w:rsidRPr="000708EB" w:rsidRDefault="000B5B8C" w:rsidP="000B5B8C">
            <w:pPr>
              <w:spacing w:after="160" w:line="259" w:lineRule="auto"/>
              <w:rPr>
                <w:color w:val="002060"/>
              </w:rPr>
            </w:pPr>
            <w:r w:rsidRPr="000708EB">
              <w:rPr>
                <w:color w:val="002060"/>
              </w:rPr>
              <w:t>1998</w:t>
            </w:r>
          </w:p>
        </w:tc>
        <w:tc>
          <w:tcPr>
            <w:tcW w:w="1134" w:type="dxa"/>
          </w:tcPr>
          <w:p w:rsidR="000B5B8C" w:rsidRPr="000708EB" w:rsidRDefault="000B5B8C" w:rsidP="000B5B8C">
            <w:pPr>
              <w:spacing w:after="160" w:line="259" w:lineRule="auto"/>
              <w:rPr>
                <w:color w:val="002060"/>
              </w:rPr>
            </w:pPr>
            <w:r w:rsidRPr="000708EB">
              <w:rPr>
                <w:color w:val="002060"/>
              </w:rPr>
              <w:t>10</w:t>
            </w:r>
          </w:p>
        </w:tc>
        <w:tc>
          <w:tcPr>
            <w:tcW w:w="993" w:type="dxa"/>
          </w:tcPr>
          <w:p w:rsidR="000B5B8C" w:rsidRPr="000708EB" w:rsidRDefault="000B5B8C" w:rsidP="000B5B8C">
            <w:pPr>
              <w:spacing w:after="160" w:line="259" w:lineRule="auto"/>
              <w:rPr>
                <w:color w:val="002060"/>
              </w:rPr>
            </w:pPr>
            <w:r w:rsidRPr="000708EB">
              <w:rPr>
                <w:color w:val="002060"/>
              </w:rPr>
              <w:t>Danimarca</w:t>
            </w:r>
          </w:p>
        </w:tc>
        <w:tc>
          <w:tcPr>
            <w:tcW w:w="1633" w:type="dxa"/>
          </w:tcPr>
          <w:p w:rsidR="000B5B8C" w:rsidRPr="000708EB" w:rsidRDefault="000B5B8C" w:rsidP="000B5B8C">
            <w:pPr>
              <w:spacing w:after="160" w:line="259" w:lineRule="auto"/>
              <w:rPr>
                <w:color w:val="002060"/>
              </w:rPr>
            </w:pPr>
            <w:r w:rsidRPr="000708EB">
              <w:rPr>
                <w:color w:val="002060"/>
              </w:rPr>
              <w:t>6.790</w:t>
            </w:r>
          </w:p>
        </w:tc>
        <w:tc>
          <w:tcPr>
            <w:tcW w:w="1337" w:type="dxa"/>
          </w:tcPr>
          <w:p w:rsidR="000B5B8C" w:rsidRPr="000708EB" w:rsidRDefault="000B5B8C" w:rsidP="000B5B8C">
            <w:pPr>
              <w:spacing w:after="160" w:line="259" w:lineRule="auto"/>
              <w:rPr>
                <w:color w:val="002060"/>
              </w:rPr>
            </w:pPr>
            <w:r w:rsidRPr="000708EB">
              <w:rPr>
                <w:color w:val="002060"/>
              </w:rPr>
              <w:t>1.624</w:t>
            </w:r>
          </w:p>
        </w:tc>
      </w:tr>
      <w:tr w:rsidR="000708EB" w:rsidRPr="000708EB" w:rsidTr="00E331B7">
        <w:tc>
          <w:tcPr>
            <w:tcW w:w="1129" w:type="dxa"/>
          </w:tcPr>
          <w:p w:rsidR="000B5B8C" w:rsidRPr="000708EB" w:rsidRDefault="000B5B8C" w:rsidP="000B5B8C">
            <w:pPr>
              <w:spacing w:after="160" w:line="259" w:lineRule="auto"/>
              <w:rPr>
                <w:color w:val="002060"/>
              </w:rPr>
            </w:pPr>
            <w:proofErr w:type="spellStart"/>
            <w:r w:rsidRPr="000708EB">
              <w:rPr>
                <w:b/>
                <w:bCs/>
                <w:color w:val="002060"/>
              </w:rPr>
              <w:t>Osman</w:t>
            </w:r>
            <w:proofErr w:type="spellEnd"/>
            <w:r w:rsidRPr="000708EB">
              <w:rPr>
                <w:b/>
                <w:bCs/>
                <w:color w:val="002060"/>
              </w:rPr>
              <w:t xml:space="preserve"> Gazi</w:t>
            </w:r>
          </w:p>
        </w:tc>
        <w:tc>
          <w:tcPr>
            <w:tcW w:w="1134" w:type="dxa"/>
          </w:tcPr>
          <w:p w:rsidR="000B5B8C" w:rsidRPr="000708EB" w:rsidRDefault="00E81971" w:rsidP="000B5B8C">
            <w:pPr>
              <w:rPr>
                <w:color w:val="002060"/>
                <w:sz w:val="20"/>
                <w:szCs w:val="20"/>
              </w:rPr>
            </w:pPr>
            <w:r w:rsidRPr="000708EB">
              <w:rPr>
                <w:color w:val="002060"/>
                <w:sz w:val="20"/>
                <w:szCs w:val="20"/>
              </w:rPr>
              <w:t>8 miliardi di euro</w:t>
            </w:r>
          </w:p>
        </w:tc>
        <w:tc>
          <w:tcPr>
            <w:tcW w:w="993" w:type="dxa"/>
          </w:tcPr>
          <w:p w:rsidR="000B5B8C" w:rsidRPr="000708EB" w:rsidRDefault="000B5B8C" w:rsidP="000B5B8C">
            <w:pPr>
              <w:spacing w:after="160" w:line="259" w:lineRule="auto"/>
              <w:rPr>
                <w:color w:val="002060"/>
              </w:rPr>
            </w:pPr>
            <w:r w:rsidRPr="000708EB">
              <w:rPr>
                <w:color w:val="002060"/>
              </w:rPr>
              <w:t>2013</w:t>
            </w:r>
          </w:p>
        </w:tc>
        <w:tc>
          <w:tcPr>
            <w:tcW w:w="1275" w:type="dxa"/>
          </w:tcPr>
          <w:p w:rsidR="000B5B8C" w:rsidRPr="000708EB" w:rsidRDefault="000B5B8C" w:rsidP="000B5B8C">
            <w:pPr>
              <w:spacing w:after="160" w:line="259" w:lineRule="auto"/>
              <w:rPr>
                <w:color w:val="002060"/>
              </w:rPr>
            </w:pPr>
            <w:r w:rsidRPr="000708EB">
              <w:rPr>
                <w:color w:val="002060"/>
              </w:rPr>
              <w:t>2016</w:t>
            </w:r>
          </w:p>
        </w:tc>
        <w:tc>
          <w:tcPr>
            <w:tcW w:w="1134" w:type="dxa"/>
          </w:tcPr>
          <w:p w:rsidR="000B5B8C" w:rsidRPr="000708EB" w:rsidRDefault="000B5B8C" w:rsidP="000B5B8C">
            <w:pPr>
              <w:spacing w:after="160" w:line="259" w:lineRule="auto"/>
              <w:rPr>
                <w:color w:val="002060"/>
              </w:rPr>
            </w:pPr>
            <w:r w:rsidRPr="000708EB">
              <w:rPr>
                <w:color w:val="002060"/>
              </w:rPr>
              <w:t>3</w:t>
            </w:r>
          </w:p>
        </w:tc>
        <w:tc>
          <w:tcPr>
            <w:tcW w:w="993" w:type="dxa"/>
          </w:tcPr>
          <w:p w:rsidR="000B5B8C" w:rsidRPr="000708EB" w:rsidRDefault="000B5B8C" w:rsidP="000B5B8C">
            <w:pPr>
              <w:spacing w:after="160" w:line="259" w:lineRule="auto"/>
              <w:rPr>
                <w:color w:val="002060"/>
              </w:rPr>
            </w:pPr>
            <w:r w:rsidRPr="000708EB">
              <w:rPr>
                <w:color w:val="002060"/>
              </w:rPr>
              <w:t>Turchia</w:t>
            </w:r>
          </w:p>
        </w:tc>
        <w:tc>
          <w:tcPr>
            <w:tcW w:w="1633" w:type="dxa"/>
          </w:tcPr>
          <w:p w:rsidR="000B5B8C" w:rsidRPr="000708EB" w:rsidRDefault="000B5B8C" w:rsidP="000B5B8C">
            <w:pPr>
              <w:spacing w:after="160" w:line="259" w:lineRule="auto"/>
              <w:rPr>
                <w:color w:val="002060"/>
              </w:rPr>
            </w:pPr>
            <w:r w:rsidRPr="000708EB">
              <w:rPr>
                <w:color w:val="002060"/>
              </w:rPr>
              <w:t>2.682</w:t>
            </w:r>
          </w:p>
        </w:tc>
        <w:tc>
          <w:tcPr>
            <w:tcW w:w="1337" w:type="dxa"/>
          </w:tcPr>
          <w:p w:rsidR="000B5B8C" w:rsidRPr="000708EB" w:rsidRDefault="000B5B8C" w:rsidP="000B5B8C">
            <w:pPr>
              <w:spacing w:after="160" w:line="259" w:lineRule="auto"/>
              <w:rPr>
                <w:color w:val="002060"/>
              </w:rPr>
            </w:pPr>
            <w:r w:rsidRPr="000708EB">
              <w:rPr>
                <w:color w:val="002060"/>
              </w:rPr>
              <w:t>1.550</w:t>
            </w:r>
          </w:p>
        </w:tc>
      </w:tr>
      <w:tr w:rsidR="000708EB" w:rsidRPr="000708EB" w:rsidTr="00E331B7">
        <w:tc>
          <w:tcPr>
            <w:tcW w:w="1129" w:type="dxa"/>
          </w:tcPr>
          <w:p w:rsidR="000B5B8C" w:rsidRPr="000708EB" w:rsidRDefault="000B5B8C" w:rsidP="000B5B8C">
            <w:pPr>
              <w:spacing w:after="160" w:line="259" w:lineRule="auto"/>
              <w:rPr>
                <w:color w:val="002060"/>
              </w:rPr>
            </w:pPr>
            <w:proofErr w:type="spellStart"/>
            <w:r w:rsidRPr="000708EB">
              <w:rPr>
                <w:color w:val="002060"/>
              </w:rPr>
              <w:t>Yi</w:t>
            </w:r>
            <w:proofErr w:type="spellEnd"/>
            <w:r w:rsidRPr="000708EB">
              <w:rPr>
                <w:color w:val="002060"/>
              </w:rPr>
              <w:t xml:space="preserve"> </w:t>
            </w:r>
            <w:proofErr w:type="spellStart"/>
            <w:r w:rsidRPr="000708EB">
              <w:rPr>
                <w:color w:val="002060"/>
              </w:rPr>
              <w:t>Sun</w:t>
            </w:r>
            <w:proofErr w:type="spellEnd"/>
            <w:r w:rsidRPr="000708EB">
              <w:rPr>
                <w:color w:val="002060"/>
              </w:rPr>
              <w:t xml:space="preserve"> Sin</w:t>
            </w:r>
          </w:p>
        </w:tc>
        <w:tc>
          <w:tcPr>
            <w:tcW w:w="1134" w:type="dxa"/>
          </w:tcPr>
          <w:p w:rsidR="000B5B8C" w:rsidRPr="000708EB" w:rsidRDefault="000B5B8C" w:rsidP="000B5B8C">
            <w:pPr>
              <w:rPr>
                <w:color w:val="002060"/>
              </w:rPr>
            </w:pPr>
          </w:p>
        </w:tc>
        <w:tc>
          <w:tcPr>
            <w:tcW w:w="993" w:type="dxa"/>
          </w:tcPr>
          <w:p w:rsidR="000B5B8C" w:rsidRPr="000708EB" w:rsidRDefault="000B5B8C" w:rsidP="000B5B8C">
            <w:pPr>
              <w:spacing w:after="160" w:line="259" w:lineRule="auto"/>
              <w:rPr>
                <w:color w:val="002060"/>
              </w:rPr>
            </w:pPr>
            <w:r w:rsidRPr="000708EB">
              <w:rPr>
                <w:color w:val="002060"/>
              </w:rPr>
              <w:t>2007</w:t>
            </w:r>
          </w:p>
        </w:tc>
        <w:tc>
          <w:tcPr>
            <w:tcW w:w="1275" w:type="dxa"/>
          </w:tcPr>
          <w:p w:rsidR="000B5B8C" w:rsidRPr="000708EB" w:rsidRDefault="000B5B8C" w:rsidP="000B5B8C">
            <w:pPr>
              <w:spacing w:after="160" w:line="259" w:lineRule="auto"/>
              <w:rPr>
                <w:color w:val="002060"/>
              </w:rPr>
            </w:pPr>
            <w:r w:rsidRPr="000708EB">
              <w:rPr>
                <w:color w:val="002060"/>
              </w:rPr>
              <w:t>2012</w:t>
            </w:r>
          </w:p>
        </w:tc>
        <w:tc>
          <w:tcPr>
            <w:tcW w:w="1134" w:type="dxa"/>
          </w:tcPr>
          <w:p w:rsidR="000B5B8C" w:rsidRPr="000708EB" w:rsidRDefault="000B5B8C" w:rsidP="000B5B8C">
            <w:pPr>
              <w:spacing w:after="160" w:line="259" w:lineRule="auto"/>
              <w:rPr>
                <w:color w:val="002060"/>
              </w:rPr>
            </w:pPr>
            <w:r w:rsidRPr="000708EB">
              <w:rPr>
                <w:color w:val="002060"/>
              </w:rPr>
              <w:t>5</w:t>
            </w:r>
          </w:p>
        </w:tc>
        <w:tc>
          <w:tcPr>
            <w:tcW w:w="993" w:type="dxa"/>
          </w:tcPr>
          <w:p w:rsidR="000B5B8C" w:rsidRPr="000708EB" w:rsidRDefault="000B5B8C" w:rsidP="000B5B8C">
            <w:pPr>
              <w:spacing w:after="160" w:line="259" w:lineRule="auto"/>
              <w:rPr>
                <w:color w:val="002060"/>
              </w:rPr>
            </w:pPr>
            <w:r w:rsidRPr="000708EB">
              <w:rPr>
                <w:color w:val="002060"/>
              </w:rPr>
              <w:t>Corea Sud</w:t>
            </w:r>
          </w:p>
        </w:tc>
        <w:tc>
          <w:tcPr>
            <w:tcW w:w="1633" w:type="dxa"/>
          </w:tcPr>
          <w:p w:rsidR="000B5B8C" w:rsidRPr="000708EB" w:rsidRDefault="000B5B8C" w:rsidP="000B5B8C">
            <w:pPr>
              <w:spacing w:after="160" w:line="259" w:lineRule="auto"/>
              <w:rPr>
                <w:color w:val="002060"/>
              </w:rPr>
            </w:pPr>
            <w:r w:rsidRPr="000708EB">
              <w:rPr>
                <w:color w:val="002060"/>
              </w:rPr>
              <w:t>2.260</w:t>
            </w:r>
          </w:p>
        </w:tc>
        <w:tc>
          <w:tcPr>
            <w:tcW w:w="1337" w:type="dxa"/>
          </w:tcPr>
          <w:p w:rsidR="000B5B8C" w:rsidRPr="000708EB" w:rsidRDefault="000B5B8C" w:rsidP="000B5B8C">
            <w:pPr>
              <w:spacing w:after="160" w:line="259" w:lineRule="auto"/>
              <w:rPr>
                <w:color w:val="002060"/>
              </w:rPr>
            </w:pPr>
            <w:r w:rsidRPr="000708EB">
              <w:rPr>
                <w:color w:val="002060"/>
              </w:rPr>
              <w:t>1.545</w:t>
            </w:r>
          </w:p>
        </w:tc>
      </w:tr>
      <w:tr w:rsidR="000708EB" w:rsidRPr="000708EB" w:rsidTr="00E331B7">
        <w:tc>
          <w:tcPr>
            <w:tcW w:w="1129" w:type="dxa"/>
          </w:tcPr>
          <w:p w:rsidR="000B5B8C" w:rsidRPr="000708EB" w:rsidRDefault="000B5B8C" w:rsidP="000B5B8C">
            <w:pPr>
              <w:spacing w:after="160" w:line="259" w:lineRule="auto"/>
              <w:rPr>
                <w:color w:val="002060"/>
              </w:rPr>
            </w:pPr>
            <w:proofErr w:type="spellStart"/>
            <w:r w:rsidRPr="000708EB">
              <w:rPr>
                <w:color w:val="002060"/>
              </w:rPr>
              <w:t>Tsing</w:t>
            </w:r>
            <w:proofErr w:type="spellEnd"/>
            <w:r w:rsidRPr="000708EB">
              <w:rPr>
                <w:color w:val="002060"/>
              </w:rPr>
              <w:t xml:space="preserve"> Ma </w:t>
            </w:r>
          </w:p>
        </w:tc>
        <w:tc>
          <w:tcPr>
            <w:tcW w:w="1134" w:type="dxa"/>
          </w:tcPr>
          <w:p w:rsidR="000B5B8C" w:rsidRPr="000708EB" w:rsidRDefault="00E81971" w:rsidP="000B5B8C">
            <w:pPr>
              <w:rPr>
                <w:color w:val="002060"/>
                <w:sz w:val="20"/>
                <w:szCs w:val="20"/>
              </w:rPr>
            </w:pPr>
            <w:r w:rsidRPr="000708EB">
              <w:rPr>
                <w:color w:val="002060"/>
                <w:sz w:val="20"/>
                <w:szCs w:val="20"/>
              </w:rPr>
              <w:t>7,2 miliardi di dollari</w:t>
            </w:r>
          </w:p>
        </w:tc>
        <w:tc>
          <w:tcPr>
            <w:tcW w:w="993" w:type="dxa"/>
          </w:tcPr>
          <w:p w:rsidR="000B5B8C" w:rsidRPr="000708EB" w:rsidRDefault="000B5B8C" w:rsidP="000B5B8C">
            <w:pPr>
              <w:spacing w:after="160" w:line="259" w:lineRule="auto"/>
              <w:rPr>
                <w:color w:val="002060"/>
              </w:rPr>
            </w:pPr>
            <w:r w:rsidRPr="000708EB">
              <w:rPr>
                <w:color w:val="002060"/>
              </w:rPr>
              <w:t>1992</w:t>
            </w:r>
          </w:p>
        </w:tc>
        <w:tc>
          <w:tcPr>
            <w:tcW w:w="1275" w:type="dxa"/>
          </w:tcPr>
          <w:p w:rsidR="000B5B8C" w:rsidRPr="000708EB" w:rsidRDefault="000B5B8C" w:rsidP="000B5B8C">
            <w:pPr>
              <w:spacing w:after="160" w:line="259" w:lineRule="auto"/>
              <w:rPr>
                <w:color w:val="002060"/>
              </w:rPr>
            </w:pPr>
            <w:r w:rsidRPr="000708EB">
              <w:rPr>
                <w:color w:val="002060"/>
              </w:rPr>
              <w:t>1997</w:t>
            </w:r>
          </w:p>
        </w:tc>
        <w:tc>
          <w:tcPr>
            <w:tcW w:w="1134" w:type="dxa"/>
          </w:tcPr>
          <w:p w:rsidR="000B5B8C" w:rsidRPr="000708EB" w:rsidRDefault="000B5B8C" w:rsidP="000B5B8C">
            <w:pPr>
              <w:spacing w:after="160" w:line="259" w:lineRule="auto"/>
              <w:rPr>
                <w:color w:val="002060"/>
              </w:rPr>
            </w:pPr>
            <w:r w:rsidRPr="000708EB">
              <w:rPr>
                <w:color w:val="002060"/>
              </w:rPr>
              <w:t>5</w:t>
            </w:r>
          </w:p>
        </w:tc>
        <w:tc>
          <w:tcPr>
            <w:tcW w:w="993" w:type="dxa"/>
          </w:tcPr>
          <w:p w:rsidR="000B5B8C" w:rsidRPr="000708EB" w:rsidRDefault="000B5B8C" w:rsidP="000B5B8C">
            <w:pPr>
              <w:spacing w:after="160" w:line="259" w:lineRule="auto"/>
              <w:rPr>
                <w:color w:val="002060"/>
              </w:rPr>
            </w:pPr>
            <w:r w:rsidRPr="000708EB">
              <w:rPr>
                <w:color w:val="002060"/>
              </w:rPr>
              <w:t>Hong Kong</w:t>
            </w:r>
          </w:p>
        </w:tc>
        <w:tc>
          <w:tcPr>
            <w:tcW w:w="1633" w:type="dxa"/>
          </w:tcPr>
          <w:p w:rsidR="000B5B8C" w:rsidRPr="000708EB" w:rsidRDefault="000B5B8C" w:rsidP="000B5B8C">
            <w:pPr>
              <w:spacing w:after="160" w:line="259" w:lineRule="auto"/>
              <w:rPr>
                <w:color w:val="002060"/>
              </w:rPr>
            </w:pPr>
            <w:r w:rsidRPr="000708EB">
              <w:rPr>
                <w:color w:val="002060"/>
              </w:rPr>
              <w:t>2.160</w:t>
            </w:r>
          </w:p>
        </w:tc>
        <w:tc>
          <w:tcPr>
            <w:tcW w:w="1337" w:type="dxa"/>
          </w:tcPr>
          <w:p w:rsidR="000B5B8C" w:rsidRPr="000708EB" w:rsidRDefault="000B5B8C" w:rsidP="000B5B8C">
            <w:pPr>
              <w:spacing w:after="160" w:line="259" w:lineRule="auto"/>
              <w:rPr>
                <w:color w:val="002060"/>
              </w:rPr>
            </w:pPr>
            <w:r w:rsidRPr="000708EB">
              <w:rPr>
                <w:color w:val="002060"/>
              </w:rPr>
              <w:t>1.377</w:t>
            </w:r>
          </w:p>
        </w:tc>
      </w:tr>
    </w:tbl>
    <w:p w:rsidR="000B5B8C" w:rsidRPr="000708EB" w:rsidRDefault="000B5B8C" w:rsidP="00C505F5">
      <w:pPr>
        <w:rPr>
          <w:color w:val="002060"/>
        </w:rPr>
      </w:pPr>
    </w:p>
    <w:p w:rsidR="000B5B8C" w:rsidRPr="000708EB" w:rsidRDefault="000B5B8C" w:rsidP="00C505F5">
      <w:pPr>
        <w:rPr>
          <w:color w:val="002060"/>
        </w:rPr>
      </w:pPr>
    </w:p>
    <w:p w:rsidR="00CB1A3C" w:rsidRPr="000708EB" w:rsidRDefault="00CB1A3C" w:rsidP="0026705D">
      <w:pPr>
        <w:rPr>
          <w:color w:val="002060"/>
        </w:rPr>
      </w:pPr>
    </w:p>
    <w:p w:rsidR="00CB1A3C" w:rsidRPr="000708EB" w:rsidRDefault="00CB1A3C" w:rsidP="0026705D">
      <w:pPr>
        <w:rPr>
          <w:color w:val="002060"/>
        </w:rPr>
      </w:pPr>
    </w:p>
    <w:p w:rsidR="00CB1A3C" w:rsidRPr="000708EB" w:rsidRDefault="00CB1A3C" w:rsidP="0026705D">
      <w:pPr>
        <w:rPr>
          <w:color w:val="002060"/>
        </w:rPr>
      </w:pPr>
    </w:p>
    <w:p w:rsidR="00135E70" w:rsidRPr="000708EB" w:rsidRDefault="00135E70" w:rsidP="0026705D">
      <w:pPr>
        <w:rPr>
          <w:b/>
          <w:color w:val="002060"/>
        </w:rPr>
      </w:pPr>
    </w:p>
    <w:p w:rsidR="00944C29" w:rsidRPr="000708EB" w:rsidRDefault="00944C29" w:rsidP="00135E70">
      <w:pPr>
        <w:jc w:val="both"/>
        <w:rPr>
          <w:b/>
          <w:color w:val="002060"/>
        </w:rPr>
      </w:pPr>
    </w:p>
    <w:p w:rsidR="00944C29" w:rsidRPr="000708EB" w:rsidRDefault="00944C29" w:rsidP="00135E70">
      <w:pPr>
        <w:jc w:val="both"/>
        <w:rPr>
          <w:b/>
          <w:color w:val="002060"/>
        </w:rPr>
      </w:pPr>
    </w:p>
    <w:p w:rsidR="000708EB" w:rsidRDefault="000708EB" w:rsidP="00135E70">
      <w:pPr>
        <w:jc w:val="both"/>
        <w:rPr>
          <w:b/>
          <w:color w:val="002060"/>
        </w:rPr>
      </w:pPr>
    </w:p>
    <w:p w:rsidR="000708EB" w:rsidRDefault="000708EB" w:rsidP="00135E70">
      <w:pPr>
        <w:jc w:val="both"/>
        <w:rPr>
          <w:b/>
          <w:color w:val="002060"/>
        </w:rPr>
      </w:pPr>
    </w:p>
    <w:p w:rsidR="00CE6F00" w:rsidRPr="000708EB" w:rsidRDefault="0026705D" w:rsidP="00135E70">
      <w:pPr>
        <w:jc w:val="both"/>
        <w:rPr>
          <w:b/>
          <w:color w:val="002060"/>
        </w:rPr>
      </w:pPr>
      <w:r w:rsidRPr="000708EB">
        <w:rPr>
          <w:b/>
          <w:color w:val="002060"/>
        </w:rPr>
        <w:lastRenderedPageBreak/>
        <w:t>IL PREZZO DELL’INSULARIT</w:t>
      </w:r>
      <w:r w:rsidR="00E81971" w:rsidRPr="000708EB">
        <w:rPr>
          <w:b/>
          <w:color w:val="002060"/>
        </w:rPr>
        <w:t>À</w:t>
      </w:r>
      <w:r w:rsidRPr="000708EB">
        <w:rPr>
          <w:b/>
          <w:color w:val="002060"/>
        </w:rPr>
        <w:t xml:space="preserve"> </w:t>
      </w:r>
    </w:p>
    <w:p w:rsidR="00CE2CE0" w:rsidRPr="000708EB" w:rsidRDefault="00973174" w:rsidP="00135E70">
      <w:pPr>
        <w:jc w:val="both"/>
        <w:rPr>
          <w:color w:val="002060"/>
        </w:rPr>
      </w:pPr>
      <w:r w:rsidRPr="000708EB">
        <w:rPr>
          <w:color w:val="002060"/>
        </w:rPr>
        <w:t>Il legame tra dotazione infrastrutturale e sviluppo economico è tipico dell'economia dello sviluppo e</w:t>
      </w:r>
      <w:r w:rsidR="00944C29" w:rsidRPr="000708EB">
        <w:rPr>
          <w:color w:val="002060"/>
        </w:rPr>
        <w:t xml:space="preserve"> </w:t>
      </w:r>
      <w:r w:rsidRPr="000708EB">
        <w:rPr>
          <w:color w:val="002060"/>
        </w:rPr>
        <w:t xml:space="preserve">ha una valenza dinamica e di lungo periodo. </w:t>
      </w:r>
      <w:r w:rsidR="00944C29" w:rsidRPr="000708EB">
        <w:rPr>
          <w:color w:val="002060"/>
        </w:rPr>
        <w:t xml:space="preserve">Questo </w:t>
      </w:r>
      <w:r w:rsidRPr="000708EB">
        <w:rPr>
          <w:color w:val="002060"/>
        </w:rPr>
        <w:t xml:space="preserve">legame è </w:t>
      </w:r>
      <w:r w:rsidR="00944C29" w:rsidRPr="000708EB">
        <w:rPr>
          <w:color w:val="002060"/>
        </w:rPr>
        <w:t xml:space="preserve">assunto </w:t>
      </w:r>
      <w:r w:rsidRPr="000708EB">
        <w:rPr>
          <w:color w:val="002060"/>
        </w:rPr>
        <w:t xml:space="preserve">dalle più recenti teorie della crescita </w:t>
      </w:r>
      <w:r w:rsidR="00944C29" w:rsidRPr="000708EB">
        <w:rPr>
          <w:color w:val="002060"/>
        </w:rPr>
        <w:t xml:space="preserve">ed è dimostrato </w:t>
      </w:r>
      <w:r w:rsidRPr="000708EB">
        <w:rPr>
          <w:color w:val="002060"/>
        </w:rPr>
        <w:t>da evidenze empiriche, che dimostrano c</w:t>
      </w:r>
      <w:r w:rsidR="00944C29" w:rsidRPr="000708EB">
        <w:rPr>
          <w:color w:val="002060"/>
        </w:rPr>
        <w:t>ome</w:t>
      </w:r>
      <w:r w:rsidRPr="000708EB">
        <w:rPr>
          <w:color w:val="002060"/>
        </w:rPr>
        <w:t xml:space="preserve"> gli effetti, diretti e indiretti, delle infrastrutture influiscono positivamente sulla </w:t>
      </w:r>
      <w:r w:rsidRPr="000708EB">
        <w:rPr>
          <w:i/>
          <w:iCs/>
          <w:color w:val="002060"/>
        </w:rPr>
        <w:t>performance</w:t>
      </w:r>
      <w:r w:rsidRPr="000708EB">
        <w:rPr>
          <w:color w:val="002060"/>
        </w:rPr>
        <w:t> del tessuto produttivo. </w:t>
      </w:r>
    </w:p>
    <w:p w:rsidR="005205BD" w:rsidRPr="000708EB" w:rsidRDefault="00944C29" w:rsidP="00135E70">
      <w:pPr>
        <w:jc w:val="both"/>
        <w:rPr>
          <w:color w:val="002060"/>
        </w:rPr>
      </w:pPr>
      <w:r w:rsidRPr="000708EB">
        <w:rPr>
          <w:color w:val="002060"/>
        </w:rPr>
        <w:t>Nell</w:t>
      </w:r>
      <w:r w:rsidR="005205BD" w:rsidRPr="000708EB">
        <w:rPr>
          <w:color w:val="002060"/>
        </w:rPr>
        <w:t xml:space="preserve">'analisi </w:t>
      </w:r>
      <w:r w:rsidRPr="000708EB">
        <w:rPr>
          <w:color w:val="002060"/>
        </w:rPr>
        <w:t>c</w:t>
      </w:r>
      <w:r w:rsidR="005205BD" w:rsidRPr="000708EB">
        <w:rPr>
          <w:color w:val="002060"/>
        </w:rPr>
        <w:t xml:space="preserve">osti-benefici </w:t>
      </w:r>
      <w:r w:rsidRPr="000708EB">
        <w:rPr>
          <w:color w:val="002060"/>
        </w:rPr>
        <w:t xml:space="preserve">emerge inequivocabilmente </w:t>
      </w:r>
      <w:r w:rsidR="005205BD" w:rsidRPr="000708EB">
        <w:rPr>
          <w:color w:val="002060"/>
        </w:rPr>
        <w:t>che i costi dell'investimento saranno ammortizzati dai ricavi derivanti dal pagamento dei pedaggi e del canone di concessione di transito della rete ferroviaria, oltre che dall'aumento delle entrate fiscali. Dalla stima della redditività è risultato un tasso di rendimento economico intorno al 9%.</w:t>
      </w:r>
    </w:p>
    <w:p w:rsidR="005205BD" w:rsidRPr="000708EB" w:rsidRDefault="005205BD" w:rsidP="00135E70">
      <w:pPr>
        <w:jc w:val="both"/>
        <w:rPr>
          <w:color w:val="002060"/>
        </w:rPr>
      </w:pPr>
      <w:r w:rsidRPr="000708EB">
        <w:rPr>
          <w:color w:val="002060"/>
        </w:rPr>
        <w:t>I vantaggi in fase di costruzione:</w:t>
      </w:r>
    </w:p>
    <w:p w:rsidR="00C7251F" w:rsidRPr="000708EB" w:rsidRDefault="005205BD" w:rsidP="00C7251F">
      <w:pPr>
        <w:jc w:val="both"/>
        <w:rPr>
          <w:color w:val="002060"/>
        </w:rPr>
      </w:pPr>
      <w:r w:rsidRPr="000708EB">
        <w:rPr>
          <w:color w:val="002060"/>
        </w:rPr>
        <w:t xml:space="preserve">un aumento dell'occupazione, sia direttamente nei cantieri che nell'indotto, che si stima complessivamente </w:t>
      </w:r>
      <w:r w:rsidR="00944C29" w:rsidRPr="000708EB">
        <w:rPr>
          <w:color w:val="002060"/>
        </w:rPr>
        <w:t>in 100.000 posti di lavoro all’</w:t>
      </w:r>
      <w:r w:rsidRPr="000708EB">
        <w:rPr>
          <w:color w:val="002060"/>
        </w:rPr>
        <w:t>anno;</w:t>
      </w:r>
      <w:r w:rsidRPr="000708EB">
        <w:rPr>
          <w:color w:val="002060"/>
        </w:rPr>
        <w:br/>
        <w:t>- un aumento della produzione di beni e servizi intermedi da parte delle imprese locali e nazionali, stimato in sei miliardi di euro, e il relativo aumento di occupazione;</w:t>
      </w:r>
      <w:r w:rsidRPr="000708EB">
        <w:rPr>
          <w:color w:val="002060"/>
        </w:rPr>
        <w:br/>
        <w:t>- un aumento dei consumi derivante dall'aumento del reddito di chi partecipa alla costruzione dell'opera;</w:t>
      </w:r>
      <w:r w:rsidRPr="000708EB">
        <w:rPr>
          <w:color w:val="002060"/>
        </w:rPr>
        <w:br/>
        <w:t>- un incremento del gettito fiscale, derivante da</w:t>
      </w:r>
      <w:r w:rsidR="00C7251F" w:rsidRPr="000708EB">
        <w:rPr>
          <w:color w:val="002060"/>
        </w:rPr>
        <w:t xml:space="preserve">l complesso </w:t>
      </w:r>
      <w:r w:rsidRPr="000708EB">
        <w:rPr>
          <w:color w:val="002060"/>
        </w:rPr>
        <w:t>insieme di imposte, di contributi sociali, di oneri tributari di vario genere collegati alla realizzazione dell'investimento, che, riducendo la parte di spesa che grava sulla finanza pubblica, realizzano una mera partita di giro.</w:t>
      </w:r>
    </w:p>
    <w:p w:rsidR="005205BD" w:rsidRPr="000708EB" w:rsidRDefault="005205BD" w:rsidP="00C7251F">
      <w:pPr>
        <w:jc w:val="both"/>
        <w:rPr>
          <w:color w:val="002060"/>
        </w:rPr>
      </w:pPr>
      <w:r w:rsidRPr="000708EB">
        <w:rPr>
          <w:color w:val="002060"/>
        </w:rPr>
        <w:br/>
      </w:r>
      <w:r w:rsidR="00C7251F" w:rsidRPr="000708EB">
        <w:rPr>
          <w:color w:val="002060"/>
        </w:rPr>
        <w:t xml:space="preserve">I vantaggi, </w:t>
      </w:r>
      <w:r w:rsidRPr="000708EB">
        <w:rPr>
          <w:color w:val="002060"/>
        </w:rPr>
        <w:t>in fase di esercizio:</w:t>
      </w:r>
      <w:r w:rsidRPr="000708EB">
        <w:rPr>
          <w:color w:val="002060"/>
        </w:rPr>
        <w:br/>
        <w:t>- il mantenimento di un alto livello di occupazione;</w:t>
      </w:r>
      <w:r w:rsidRPr="000708EB">
        <w:rPr>
          <w:color w:val="002060"/>
        </w:rPr>
        <w:br/>
        <w:t>- una riduzione dei costi di trasporto, sia riguardo il trasporto merci privato, che contribuisce ad un aumento della produttività dei fattori produttivi, e quindi un aumento di competitività delle imprese</w:t>
      </w:r>
    </w:p>
    <w:p w:rsidR="007855D1" w:rsidRPr="000708EB" w:rsidRDefault="007855D1" w:rsidP="00135E70">
      <w:pPr>
        <w:jc w:val="both"/>
        <w:rPr>
          <w:color w:val="002060"/>
        </w:rPr>
      </w:pPr>
      <w:r w:rsidRPr="000708EB">
        <w:rPr>
          <w:color w:val="002060"/>
        </w:rPr>
        <w:t>-</w:t>
      </w:r>
      <w:r w:rsidR="005205BD" w:rsidRPr="000708EB">
        <w:rPr>
          <w:color w:val="002060"/>
        </w:rPr>
        <w:t>la totale capacità di assorbimento della domanda di attraversamento</w:t>
      </w:r>
    </w:p>
    <w:p w:rsidR="005205BD" w:rsidRPr="000708EB" w:rsidRDefault="005205BD" w:rsidP="00135E70">
      <w:pPr>
        <w:jc w:val="both"/>
        <w:rPr>
          <w:color w:val="002060"/>
        </w:rPr>
      </w:pPr>
      <w:r w:rsidRPr="000708EB">
        <w:rPr>
          <w:color w:val="002060"/>
        </w:rPr>
        <w:t>- un risparmio medio di tempo rispetto all'attraversamento via mare, pari a due ore per i treni e un'ora per i mezzi gommati, e di svariate ore per il traffico merci ferroviario, considerando sia il tempo di puro attraversamento che il tempo necessario per le operazioni di imbarco e sbarco, particolarmente lunghe e laboriose per i treni;</w:t>
      </w:r>
      <w:r w:rsidRPr="000708EB">
        <w:rPr>
          <w:color w:val="002060"/>
        </w:rPr>
        <w:br/>
        <w:t xml:space="preserve">- una maggiore facilità nella mobilità urbana tra le due sponde, corrispondente ad una </w:t>
      </w:r>
      <w:r w:rsidRPr="000708EB">
        <w:rPr>
          <w:color w:val="002060"/>
        </w:rPr>
        <w:lastRenderedPageBreak/>
        <w:t>domanda di migliaia di spostamenti giornalieri per motivi di studio o di lavoro;</w:t>
      </w:r>
      <w:r w:rsidRPr="000708EB">
        <w:rPr>
          <w:color w:val="002060"/>
        </w:rPr>
        <w:br/>
        <w:t>- i vantaggi derivanti dalla riduzione del servizio traghetti, in termini di disinquinamento delle acque e di protezione delle coste e dell'ecosistema marino. </w:t>
      </w:r>
    </w:p>
    <w:p w:rsidR="002E06A0" w:rsidRPr="000708EB" w:rsidRDefault="008F5BD6" w:rsidP="00135E70">
      <w:pPr>
        <w:jc w:val="both"/>
        <w:rPr>
          <w:color w:val="002060"/>
        </w:rPr>
      </w:pPr>
      <w:r w:rsidRPr="000708EB">
        <w:rPr>
          <w:color w:val="002060"/>
        </w:rPr>
        <w:t>Secondo una stima della Regione Siciliana l</w:t>
      </w:r>
      <w:r w:rsidR="0026705D" w:rsidRPr="000708EB">
        <w:rPr>
          <w:color w:val="002060"/>
        </w:rPr>
        <w:t xml:space="preserve">a condizione di insularità </w:t>
      </w:r>
      <w:r w:rsidRPr="000708EB">
        <w:rPr>
          <w:color w:val="002060"/>
        </w:rPr>
        <w:t xml:space="preserve">costerebbe </w:t>
      </w:r>
      <w:r w:rsidR="0026705D" w:rsidRPr="000708EB">
        <w:rPr>
          <w:color w:val="002060"/>
        </w:rPr>
        <w:t xml:space="preserve">alla Sicilia tra i 4 ai 5 miliardi di euro l'anno. </w:t>
      </w:r>
    </w:p>
    <w:p w:rsidR="002E06A0" w:rsidRPr="000708EB" w:rsidRDefault="0026705D" w:rsidP="00135E70">
      <w:pPr>
        <w:jc w:val="both"/>
        <w:rPr>
          <w:color w:val="002060"/>
        </w:rPr>
      </w:pPr>
      <w:r w:rsidRPr="000708EB">
        <w:rPr>
          <w:color w:val="002060"/>
        </w:rPr>
        <w:t xml:space="preserve">La definizione di insularità comprende il concetto di "discontinuità territoriale" che caratterizza alcune regioni e che determina una specificità di natura economica, </w:t>
      </w:r>
      <w:r w:rsidR="00C7251F" w:rsidRPr="000708EB">
        <w:rPr>
          <w:color w:val="002060"/>
        </w:rPr>
        <w:t>ambientale, sociale, e una specificità legata alla logistica e ai trasporti</w:t>
      </w:r>
      <w:r w:rsidRPr="000708EB">
        <w:rPr>
          <w:color w:val="002060"/>
        </w:rPr>
        <w:t>. Questa condizione rappresenta un oggettivo svantaggio rispetto ai territori continentali che god</w:t>
      </w:r>
      <w:r w:rsidR="00C7251F" w:rsidRPr="000708EB">
        <w:rPr>
          <w:color w:val="002060"/>
        </w:rPr>
        <w:t>ono</w:t>
      </w:r>
      <w:r w:rsidRPr="000708EB">
        <w:rPr>
          <w:color w:val="002060"/>
        </w:rPr>
        <w:t xml:space="preserve"> di una maggiore facilità di collegamento e interscambio. </w:t>
      </w:r>
      <w:r w:rsidR="002E06A0" w:rsidRPr="000708EB">
        <w:rPr>
          <w:color w:val="002060"/>
        </w:rPr>
        <w:t xml:space="preserve">La Sicilia è la penultima regione </w:t>
      </w:r>
      <w:r w:rsidR="00C7251F" w:rsidRPr="000708EB">
        <w:rPr>
          <w:color w:val="002060"/>
        </w:rPr>
        <w:t xml:space="preserve">italiana </w:t>
      </w:r>
      <w:r w:rsidR="002E06A0" w:rsidRPr="000708EB">
        <w:rPr>
          <w:color w:val="002060"/>
        </w:rPr>
        <w:t>per accessibilità autostradale e ferroviaria davanti alla Sardegna ed è penultima per accessibilità all'alta velocità davanti alla Val d’Aosta.</w:t>
      </w:r>
    </w:p>
    <w:p w:rsidR="0026705D" w:rsidRPr="000708EB" w:rsidRDefault="0026705D" w:rsidP="00135E70">
      <w:pPr>
        <w:jc w:val="both"/>
        <w:rPr>
          <w:color w:val="002060"/>
        </w:rPr>
      </w:pPr>
      <w:r w:rsidRPr="000708EB">
        <w:rPr>
          <w:color w:val="002060"/>
        </w:rPr>
        <w:t xml:space="preserve">Che l'insularità sia un fattore penalizzante è riconosciuto dalla Commissione Europea che considera le regioni interessate meritevoli di azioni politiche capaci di far superare il gap rispetto alle aree continentali.   </w:t>
      </w:r>
    </w:p>
    <w:p w:rsidR="009D0B10" w:rsidRPr="000708EB" w:rsidRDefault="007855D1" w:rsidP="00135E70">
      <w:pPr>
        <w:jc w:val="both"/>
        <w:rPr>
          <w:color w:val="002060"/>
        </w:rPr>
      </w:pPr>
      <w:r w:rsidRPr="000708EB">
        <w:rPr>
          <w:color w:val="002060"/>
        </w:rPr>
        <w:t>In conclusione: i</w:t>
      </w:r>
      <w:r w:rsidR="005205BD" w:rsidRPr="000708EB">
        <w:rPr>
          <w:color w:val="002060"/>
        </w:rPr>
        <w:t xml:space="preserve">l deficit infrastrutturale nel settore dei trasporti rappresenta un ostacolo alla crescita. </w:t>
      </w:r>
      <w:r w:rsidR="005E4659" w:rsidRPr="000708EB">
        <w:rPr>
          <w:color w:val="002060"/>
        </w:rPr>
        <w:t>L</w:t>
      </w:r>
      <w:r w:rsidR="005205BD" w:rsidRPr="000708EB">
        <w:rPr>
          <w:color w:val="002060"/>
        </w:rPr>
        <w:t>a decisione di realizzare un attraversamento stabile nello Stretto di Messina</w:t>
      </w:r>
      <w:r w:rsidR="005E4659" w:rsidRPr="000708EB">
        <w:rPr>
          <w:color w:val="002060"/>
        </w:rPr>
        <w:t xml:space="preserve"> </w:t>
      </w:r>
      <w:r w:rsidRPr="000708EB">
        <w:rPr>
          <w:color w:val="002060"/>
        </w:rPr>
        <w:t xml:space="preserve">è vitale per l’economia, strategica per </w:t>
      </w:r>
      <w:r w:rsidR="009D0B10" w:rsidRPr="000708EB">
        <w:rPr>
          <w:color w:val="002060"/>
        </w:rPr>
        <w:t>gli investimenti, pubblici e privati, che sono alla base della crescita economica e dell'occupazione</w:t>
      </w:r>
      <w:r w:rsidRPr="000708EB">
        <w:rPr>
          <w:color w:val="002060"/>
        </w:rPr>
        <w:t>. L</w:t>
      </w:r>
      <w:r w:rsidR="009D0B10" w:rsidRPr="000708EB">
        <w:rPr>
          <w:color w:val="002060"/>
        </w:rPr>
        <w:t xml:space="preserve">a dotazione infrastrutturale nel settore dei trasporti </w:t>
      </w:r>
      <w:r w:rsidRPr="000708EB">
        <w:rPr>
          <w:color w:val="002060"/>
        </w:rPr>
        <w:t xml:space="preserve">è la spina dorsale </w:t>
      </w:r>
      <w:r w:rsidR="009D0B10" w:rsidRPr="000708EB">
        <w:rPr>
          <w:color w:val="002060"/>
        </w:rPr>
        <w:t>allo sviluppo</w:t>
      </w:r>
      <w:r w:rsidRPr="000708EB">
        <w:rPr>
          <w:color w:val="002060"/>
        </w:rPr>
        <w:t xml:space="preserve">, fondamentale per </w:t>
      </w:r>
      <w:r w:rsidR="009D0B10" w:rsidRPr="000708EB">
        <w:rPr>
          <w:color w:val="002060"/>
        </w:rPr>
        <w:t xml:space="preserve">rimuovere i vincoli alla crescita. </w:t>
      </w:r>
      <w:r w:rsidRPr="000708EB">
        <w:rPr>
          <w:color w:val="002060"/>
        </w:rPr>
        <w:t>Non a caso n</w:t>
      </w:r>
      <w:r w:rsidR="009D0B10" w:rsidRPr="000708EB">
        <w:rPr>
          <w:color w:val="002060"/>
        </w:rPr>
        <w:t>ella classificazione delle infrastrutture, quelle relative ai trasporti sono incluse tra le infrastrutture di tipo econo</w:t>
      </w:r>
      <w:r w:rsidRPr="000708EB">
        <w:rPr>
          <w:color w:val="002060"/>
        </w:rPr>
        <w:t>mico-produttivo, alla base del</w:t>
      </w:r>
      <w:r w:rsidR="009D0B10" w:rsidRPr="000708EB">
        <w:rPr>
          <w:color w:val="002060"/>
        </w:rPr>
        <w:t xml:space="preserve">l'evoluzione degli scambi e </w:t>
      </w:r>
      <w:r w:rsidRPr="000708EB">
        <w:rPr>
          <w:color w:val="002060"/>
        </w:rPr>
        <w:t>del</w:t>
      </w:r>
      <w:r w:rsidR="009D0B10" w:rsidRPr="000708EB">
        <w:rPr>
          <w:color w:val="002060"/>
        </w:rPr>
        <w:t xml:space="preserve">la creazione di economie di scala nella fase di commercializzazione. </w:t>
      </w:r>
      <w:r w:rsidRPr="000708EB">
        <w:rPr>
          <w:color w:val="002060"/>
        </w:rPr>
        <w:t>La continuità territoriale favorirebbe</w:t>
      </w:r>
      <w:r w:rsidR="009D0B10" w:rsidRPr="000708EB">
        <w:rPr>
          <w:color w:val="002060"/>
        </w:rPr>
        <w:t xml:space="preserve"> l'attrazione di investimenti dall'estero;</w:t>
      </w:r>
      <w:r w:rsidRPr="000708EB">
        <w:rPr>
          <w:color w:val="002060"/>
        </w:rPr>
        <w:t xml:space="preserve"> </w:t>
      </w:r>
      <w:r w:rsidR="009D0B10" w:rsidRPr="000708EB">
        <w:rPr>
          <w:color w:val="002060"/>
        </w:rPr>
        <w:t xml:space="preserve">la realizzazione della </w:t>
      </w:r>
      <w:proofErr w:type="spellStart"/>
      <w:r w:rsidR="009D0B10" w:rsidRPr="000708EB">
        <w:rPr>
          <w:color w:val="002060"/>
        </w:rPr>
        <w:t>plurimodalità</w:t>
      </w:r>
      <w:proofErr w:type="spellEnd"/>
      <w:r w:rsidR="009D0B10" w:rsidRPr="000708EB">
        <w:rPr>
          <w:color w:val="002060"/>
        </w:rPr>
        <w:t xml:space="preserve"> (traghetto-ferro-gomma) nell'attraversamento dello Stretto</w:t>
      </w:r>
      <w:r w:rsidRPr="000708EB">
        <w:rPr>
          <w:color w:val="002060"/>
        </w:rPr>
        <w:t>,</w:t>
      </w:r>
      <w:r w:rsidR="009D0B10" w:rsidRPr="000708EB">
        <w:rPr>
          <w:color w:val="002060"/>
        </w:rPr>
        <w:t xml:space="preserve"> la realizzazione dell'Alta Velocità in Sicilia</w:t>
      </w:r>
      <w:r w:rsidRPr="000708EB">
        <w:rPr>
          <w:color w:val="002060"/>
        </w:rPr>
        <w:t xml:space="preserve">. </w:t>
      </w:r>
    </w:p>
    <w:p w:rsidR="001E129E" w:rsidRPr="000708EB" w:rsidRDefault="001E129E">
      <w:pPr>
        <w:rPr>
          <w:color w:val="002060"/>
        </w:rPr>
      </w:pPr>
    </w:p>
    <w:p w:rsidR="001E129E" w:rsidRPr="000708EB" w:rsidRDefault="001E129E">
      <w:pPr>
        <w:rPr>
          <w:color w:val="002060"/>
        </w:rPr>
      </w:pPr>
    </w:p>
    <w:p w:rsidR="001E129E" w:rsidRPr="000708EB" w:rsidRDefault="001E129E">
      <w:pPr>
        <w:rPr>
          <w:color w:val="002060"/>
        </w:rPr>
      </w:pPr>
    </w:p>
    <w:p w:rsidR="00CE6F00" w:rsidRPr="000708EB" w:rsidRDefault="00CE6F00">
      <w:pPr>
        <w:rPr>
          <w:color w:val="002060"/>
        </w:rPr>
      </w:pPr>
    </w:p>
    <w:p w:rsidR="00D606EF" w:rsidRDefault="00D606EF">
      <w:pPr>
        <w:rPr>
          <w:b/>
          <w:color w:val="002060"/>
        </w:rPr>
      </w:pPr>
    </w:p>
    <w:p w:rsidR="00D606EF" w:rsidRDefault="00D606EF">
      <w:pPr>
        <w:rPr>
          <w:b/>
          <w:color w:val="002060"/>
        </w:rPr>
      </w:pPr>
    </w:p>
    <w:p w:rsidR="00D606EF" w:rsidRDefault="00D606EF">
      <w:pPr>
        <w:rPr>
          <w:b/>
          <w:color w:val="002060"/>
        </w:rPr>
      </w:pPr>
    </w:p>
    <w:p w:rsidR="00CE6F00" w:rsidRPr="000708EB" w:rsidRDefault="008D25C1">
      <w:pPr>
        <w:rPr>
          <w:b/>
          <w:color w:val="002060"/>
        </w:rPr>
      </w:pPr>
      <w:r w:rsidRPr="000708EB">
        <w:rPr>
          <w:b/>
          <w:color w:val="002060"/>
        </w:rPr>
        <w:lastRenderedPageBreak/>
        <w:t>L’ALTA VELOCITÀ</w:t>
      </w:r>
      <w:r w:rsidR="00536853" w:rsidRPr="000708EB">
        <w:rPr>
          <w:b/>
          <w:color w:val="002060"/>
        </w:rPr>
        <w:t xml:space="preserve"> E LA VERA SVOLTA GREEN</w:t>
      </w:r>
    </w:p>
    <w:p w:rsidR="00EC55FE" w:rsidRPr="000708EB" w:rsidRDefault="008D25C1" w:rsidP="00160582">
      <w:pPr>
        <w:jc w:val="both"/>
        <w:rPr>
          <w:color w:val="002060"/>
        </w:rPr>
      </w:pPr>
      <w:r w:rsidRPr="000708EB">
        <w:rPr>
          <w:color w:val="002060"/>
        </w:rPr>
        <w:t>Le</w:t>
      </w:r>
      <w:r w:rsidR="00EC55FE" w:rsidRPr="000708EB">
        <w:rPr>
          <w:color w:val="002060"/>
        </w:rPr>
        <w:t xml:space="preserve"> 12</w:t>
      </w:r>
      <w:r w:rsidRPr="000708EB">
        <w:rPr>
          <w:color w:val="002060"/>
        </w:rPr>
        <w:t xml:space="preserve"> </w:t>
      </w:r>
      <w:r w:rsidR="00EC55FE" w:rsidRPr="000708EB">
        <w:rPr>
          <w:color w:val="002060"/>
        </w:rPr>
        <w:t xml:space="preserve">province i cui capoluoghi sono dotati </w:t>
      </w:r>
      <w:r w:rsidRPr="000708EB">
        <w:rPr>
          <w:color w:val="002060"/>
        </w:rPr>
        <w:t>di stazioni Alta velocità hanno assistito ad un </w:t>
      </w:r>
      <w:r w:rsidRPr="000708EB">
        <w:rPr>
          <w:b/>
          <w:bCs/>
          <w:color w:val="002060"/>
        </w:rPr>
        <w:t xml:space="preserve">incremento del </w:t>
      </w:r>
      <w:proofErr w:type="spellStart"/>
      <w:r w:rsidRPr="000708EB">
        <w:rPr>
          <w:b/>
          <w:bCs/>
          <w:color w:val="002060"/>
        </w:rPr>
        <w:t>Pil</w:t>
      </w:r>
      <w:proofErr w:type="spellEnd"/>
      <w:r w:rsidRPr="000708EB">
        <w:rPr>
          <w:b/>
          <w:bCs/>
          <w:color w:val="002060"/>
        </w:rPr>
        <w:t xml:space="preserve"> del 10% dal 2008 al 2018, contro il 3% delle province sprovviste di tale servizio</w:t>
      </w:r>
      <w:r w:rsidRPr="000708EB">
        <w:rPr>
          <w:color w:val="002060"/>
        </w:rPr>
        <w:t xml:space="preserve">. </w:t>
      </w:r>
    </w:p>
    <w:p w:rsidR="00252041" w:rsidRPr="000708EB" w:rsidRDefault="00252041" w:rsidP="00160582">
      <w:pPr>
        <w:jc w:val="both"/>
        <w:rPr>
          <w:color w:val="002060"/>
        </w:rPr>
      </w:pPr>
      <w:r w:rsidRPr="000708EB">
        <w:rPr>
          <w:iCs/>
          <w:color w:val="002060"/>
        </w:rPr>
        <w:t xml:space="preserve">Sette punti di differenza. Nelle regioni meno ricche le città con stazione </w:t>
      </w:r>
      <w:proofErr w:type="spellStart"/>
      <w:r w:rsidRPr="000708EB">
        <w:rPr>
          <w:iCs/>
          <w:color w:val="002060"/>
        </w:rPr>
        <w:t>Av</w:t>
      </w:r>
      <w:proofErr w:type="spellEnd"/>
      <w:r w:rsidRPr="000708EB">
        <w:rPr>
          <w:iCs/>
          <w:color w:val="002060"/>
        </w:rPr>
        <w:t xml:space="preserve"> sono cresciute dell’8% contro lo 0,4% dei capoluoghi distanti più di due ore. Oltre sette punti e mezzo di differenza. La </w:t>
      </w:r>
      <w:proofErr w:type="spellStart"/>
      <w:r w:rsidRPr="000708EB">
        <w:rPr>
          <w:iCs/>
          <w:color w:val="002060"/>
        </w:rPr>
        <w:t>Tav</w:t>
      </w:r>
      <w:proofErr w:type="spellEnd"/>
      <w:r w:rsidRPr="000708EB">
        <w:rPr>
          <w:iCs/>
          <w:color w:val="002060"/>
        </w:rPr>
        <w:t xml:space="preserve"> pesa più del reddito pro capite. A conferma di una relazione fra </w:t>
      </w:r>
      <w:proofErr w:type="spellStart"/>
      <w:r w:rsidRPr="000708EB">
        <w:rPr>
          <w:iCs/>
          <w:color w:val="002060"/>
        </w:rPr>
        <w:t>Tav</w:t>
      </w:r>
      <w:proofErr w:type="spellEnd"/>
      <w:r w:rsidRPr="000708EB">
        <w:rPr>
          <w:iCs/>
          <w:color w:val="002060"/>
        </w:rPr>
        <w:t xml:space="preserve"> e </w:t>
      </w:r>
      <w:proofErr w:type="spellStart"/>
      <w:r w:rsidRPr="000708EB">
        <w:rPr>
          <w:iCs/>
          <w:color w:val="002060"/>
        </w:rPr>
        <w:t>Pil</w:t>
      </w:r>
      <w:proofErr w:type="spellEnd"/>
      <w:r w:rsidRPr="000708EB">
        <w:rPr>
          <w:iCs/>
          <w:color w:val="002060"/>
        </w:rPr>
        <w:t xml:space="preserve"> il dato intermedio delle città che non hanno stazione </w:t>
      </w:r>
      <w:proofErr w:type="spellStart"/>
      <w:r w:rsidRPr="000708EB">
        <w:rPr>
          <w:iCs/>
          <w:color w:val="002060"/>
        </w:rPr>
        <w:t>Tav</w:t>
      </w:r>
      <w:proofErr w:type="spellEnd"/>
      <w:r w:rsidRPr="000708EB">
        <w:rPr>
          <w:iCs/>
          <w:color w:val="002060"/>
        </w:rPr>
        <w:t xml:space="preserve"> ma distano un’ora dallo scalo: 8% nelle regioni ricche, 6% in quelle povere.</w:t>
      </w:r>
    </w:p>
    <w:p w:rsidR="008D25C1" w:rsidRPr="000708EB" w:rsidRDefault="00EC55FE" w:rsidP="00160582">
      <w:pPr>
        <w:jc w:val="both"/>
        <w:rPr>
          <w:color w:val="002060"/>
        </w:rPr>
      </w:pPr>
      <w:r w:rsidRPr="000708EB">
        <w:rPr>
          <w:color w:val="002060"/>
        </w:rPr>
        <w:t xml:space="preserve">I 43 milioni di spostamenti </w:t>
      </w:r>
      <w:proofErr w:type="spellStart"/>
      <w:r w:rsidRPr="000708EB">
        <w:rPr>
          <w:color w:val="002060"/>
        </w:rPr>
        <w:t>Av</w:t>
      </w:r>
      <w:proofErr w:type="spellEnd"/>
      <w:r w:rsidRPr="000708EB">
        <w:rPr>
          <w:color w:val="002060"/>
        </w:rPr>
        <w:t xml:space="preserve"> registrati nel 2017 sono per il 40% nuovi spostamenti. Il restante 60% è così composto: il 23% del traffico è sottratto all’aereo, il 21% alla strada, il 16% alla ferrovia tradizionale.</w:t>
      </w:r>
    </w:p>
    <w:p w:rsidR="00160582" w:rsidRPr="000708EB" w:rsidRDefault="00160582" w:rsidP="00160582">
      <w:pPr>
        <w:jc w:val="both"/>
        <w:rPr>
          <w:color w:val="002060"/>
        </w:rPr>
      </w:pPr>
      <w:r w:rsidRPr="000708EB">
        <w:rPr>
          <w:color w:val="002060"/>
        </w:rPr>
        <w:t>Plastica è la rappresentazione nella mappa delle velocità di percorrenza dei treni. Un’Italia divisa in due.</w:t>
      </w:r>
    </w:p>
    <w:p w:rsidR="00160582" w:rsidRPr="000708EB" w:rsidRDefault="00D606EF">
      <w:pPr>
        <w:rPr>
          <w:color w:val="002060"/>
        </w:rPr>
      </w:pPr>
      <w:r>
        <w:rPr>
          <w:noProof/>
          <w:color w:val="002060"/>
          <w:lang w:eastAsia="it-IT"/>
        </w:rPr>
        <w:drawing>
          <wp:inline distT="0" distB="0" distL="0" distR="0">
            <wp:extent cx="3067897" cy="3465153"/>
            <wp:effectExtent l="0" t="0" r="0" b="254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alia-2velocità.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79273" cy="3478002"/>
                    </a:xfrm>
                    <a:prstGeom prst="rect">
                      <a:avLst/>
                    </a:prstGeom>
                  </pic:spPr>
                </pic:pic>
              </a:graphicData>
            </a:graphic>
          </wp:inline>
        </w:drawing>
      </w:r>
    </w:p>
    <w:p w:rsidR="00160582" w:rsidRPr="000708EB" w:rsidRDefault="00160582">
      <w:pPr>
        <w:rPr>
          <w:color w:val="002060"/>
        </w:rPr>
      </w:pPr>
    </w:p>
    <w:p w:rsidR="00B372D2" w:rsidRPr="000708EB" w:rsidRDefault="00B372D2" w:rsidP="00160582">
      <w:pPr>
        <w:jc w:val="both"/>
        <w:rPr>
          <w:color w:val="002060"/>
        </w:rPr>
      </w:pPr>
      <w:r w:rsidRPr="000708EB">
        <w:rPr>
          <w:color w:val="002060"/>
        </w:rPr>
        <w:t>L’accessibilità costituisce un fattore fortemente condizionante lo sviluppo economico, sociale e culturale di un territorio.</w:t>
      </w:r>
      <w:r w:rsidR="00536853" w:rsidRPr="000708EB">
        <w:rPr>
          <w:color w:val="002060"/>
        </w:rPr>
        <w:t xml:space="preserve"> </w:t>
      </w:r>
      <w:r w:rsidRPr="000708EB">
        <w:rPr>
          <w:color w:val="002060"/>
        </w:rPr>
        <w:t xml:space="preserve">La dotazione infrastrutturale è quindi tra i fattori fisici che maggiormente condizionano la capacità di un territorio di essere accessibile e quindi rappresenta un elemento fondamentale nella definizione delle potenzialità di crescita economica di un sistema locale. Le prospettive di sviluppo economico di </w:t>
      </w:r>
      <w:r w:rsidRPr="000708EB">
        <w:rPr>
          <w:color w:val="002060"/>
        </w:rPr>
        <w:lastRenderedPageBreak/>
        <w:t>una regione dipendono quindi in larga parte dall’efficienza delle sue infrastrutture di trasporto e di comunicazione. In particolare, il potenziamento delle reti infrastrutturali quando: – favorisce l’abbattimento dei costi di trasporto; – crea maggiore certezza nei tempi di movimentazione; – incrementa i livelli di comfort di viaggio per imprese e cittadini, innalza il grado di competitività del sistema economico in quanto definisce livelli di comunicazione migliori e «le comunicazioni sono il necessario prodotto delle attività localizzate nello spazio e da esse dipendono per quantità, qualità, distribuzione e intensità»</w:t>
      </w:r>
    </w:p>
    <w:p w:rsidR="00B372D2" w:rsidRPr="000708EB" w:rsidRDefault="00B372D2" w:rsidP="00160582">
      <w:pPr>
        <w:jc w:val="both"/>
        <w:rPr>
          <w:color w:val="002060"/>
        </w:rPr>
      </w:pPr>
      <w:r w:rsidRPr="000708EB">
        <w:rPr>
          <w:color w:val="002060"/>
        </w:rPr>
        <w:t>Le comunicazioni si sono però concentrate, soprattutto in Italia, nell’ambito del traffico stradale di tipo prevalentemente privato, generando diseconomie, gravi problemi di congestione ed elevati costi per la società.</w:t>
      </w:r>
    </w:p>
    <w:p w:rsidR="00536853" w:rsidRPr="000708EB" w:rsidRDefault="00536853">
      <w:pPr>
        <w:rPr>
          <w:b/>
          <w:color w:val="002060"/>
        </w:rPr>
      </w:pPr>
    </w:p>
    <w:p w:rsidR="00536853" w:rsidRPr="000708EB" w:rsidRDefault="00536853">
      <w:pPr>
        <w:rPr>
          <w:b/>
          <w:color w:val="002060"/>
        </w:rPr>
      </w:pPr>
    </w:p>
    <w:p w:rsidR="00536853" w:rsidRPr="000708EB" w:rsidRDefault="00536853">
      <w:pPr>
        <w:rPr>
          <w:b/>
          <w:color w:val="002060"/>
        </w:rPr>
      </w:pPr>
    </w:p>
    <w:p w:rsidR="00536853" w:rsidRPr="000708EB" w:rsidRDefault="00536853">
      <w:pPr>
        <w:rPr>
          <w:b/>
          <w:color w:val="002060"/>
        </w:rPr>
      </w:pPr>
    </w:p>
    <w:p w:rsidR="00536853" w:rsidRPr="000708EB" w:rsidRDefault="00536853">
      <w:pPr>
        <w:rPr>
          <w:b/>
          <w:color w:val="002060"/>
        </w:rPr>
      </w:pPr>
    </w:p>
    <w:p w:rsidR="00536853" w:rsidRPr="000708EB" w:rsidRDefault="00536853">
      <w:pPr>
        <w:rPr>
          <w:b/>
          <w:color w:val="002060"/>
        </w:rPr>
      </w:pPr>
    </w:p>
    <w:p w:rsidR="000708EB" w:rsidRDefault="000708EB">
      <w:pPr>
        <w:rPr>
          <w:b/>
          <w:color w:val="002060"/>
        </w:rPr>
      </w:pPr>
    </w:p>
    <w:p w:rsidR="000708EB" w:rsidRDefault="000708EB">
      <w:pPr>
        <w:rPr>
          <w:b/>
          <w:color w:val="002060"/>
        </w:rPr>
      </w:pPr>
    </w:p>
    <w:p w:rsidR="000708EB" w:rsidRDefault="000708EB">
      <w:pPr>
        <w:rPr>
          <w:b/>
          <w:color w:val="002060"/>
        </w:rPr>
      </w:pPr>
    </w:p>
    <w:p w:rsidR="000708EB" w:rsidRDefault="000708EB">
      <w:pPr>
        <w:rPr>
          <w:b/>
          <w:color w:val="002060"/>
        </w:rPr>
      </w:pPr>
    </w:p>
    <w:p w:rsidR="000708EB" w:rsidRDefault="000708EB">
      <w:pPr>
        <w:rPr>
          <w:b/>
          <w:color w:val="002060"/>
        </w:rPr>
      </w:pPr>
    </w:p>
    <w:p w:rsidR="000708EB" w:rsidRDefault="000708EB">
      <w:pPr>
        <w:rPr>
          <w:b/>
          <w:color w:val="002060"/>
        </w:rPr>
      </w:pPr>
    </w:p>
    <w:p w:rsidR="000708EB" w:rsidRDefault="000708EB">
      <w:pPr>
        <w:rPr>
          <w:b/>
          <w:color w:val="002060"/>
        </w:rPr>
      </w:pPr>
    </w:p>
    <w:p w:rsidR="000708EB" w:rsidRDefault="000708EB">
      <w:pPr>
        <w:rPr>
          <w:b/>
          <w:color w:val="002060"/>
        </w:rPr>
      </w:pPr>
    </w:p>
    <w:p w:rsidR="000708EB" w:rsidRDefault="000708EB">
      <w:pPr>
        <w:rPr>
          <w:b/>
          <w:color w:val="002060"/>
        </w:rPr>
      </w:pPr>
    </w:p>
    <w:p w:rsidR="000708EB" w:rsidRDefault="000708EB">
      <w:pPr>
        <w:rPr>
          <w:b/>
          <w:color w:val="002060"/>
        </w:rPr>
      </w:pPr>
    </w:p>
    <w:p w:rsidR="000708EB" w:rsidRDefault="000708EB">
      <w:pPr>
        <w:rPr>
          <w:b/>
          <w:color w:val="002060"/>
        </w:rPr>
      </w:pPr>
    </w:p>
    <w:p w:rsidR="000708EB" w:rsidRDefault="000708EB">
      <w:pPr>
        <w:rPr>
          <w:b/>
          <w:color w:val="002060"/>
        </w:rPr>
      </w:pPr>
    </w:p>
    <w:p w:rsidR="000708EB" w:rsidRDefault="000708EB">
      <w:pPr>
        <w:rPr>
          <w:b/>
          <w:color w:val="002060"/>
        </w:rPr>
      </w:pPr>
    </w:p>
    <w:p w:rsidR="00536853" w:rsidRPr="000708EB" w:rsidRDefault="00536853">
      <w:pPr>
        <w:rPr>
          <w:b/>
          <w:color w:val="002060"/>
        </w:rPr>
      </w:pPr>
      <w:r w:rsidRPr="000708EB">
        <w:rPr>
          <w:b/>
          <w:color w:val="002060"/>
        </w:rPr>
        <w:lastRenderedPageBreak/>
        <w:t>LA SVOLTA GREEN</w:t>
      </w:r>
    </w:p>
    <w:p w:rsidR="00536853" w:rsidRPr="00EA6B8A" w:rsidRDefault="00536853">
      <w:pPr>
        <w:rPr>
          <w:color w:val="002060"/>
        </w:rPr>
      </w:pPr>
      <w:r w:rsidRPr="00EA6B8A">
        <w:rPr>
          <w:color w:val="002060"/>
        </w:rPr>
        <w:t xml:space="preserve">Lo spostamento del traffico persone e merci dal gommato al ferro è la necessità dei prossimi vent’anni </w:t>
      </w:r>
    </w:p>
    <w:p w:rsidR="00536853" w:rsidRPr="000708EB" w:rsidRDefault="00536853">
      <w:pPr>
        <w:rPr>
          <w:b/>
          <w:color w:val="002060"/>
        </w:rPr>
      </w:pPr>
      <w:r w:rsidRPr="000708EB">
        <w:rPr>
          <w:b/>
          <w:noProof/>
          <w:color w:val="002060"/>
          <w:lang w:eastAsia="it-IT"/>
        </w:rPr>
        <w:drawing>
          <wp:inline distT="0" distB="0" distL="0" distR="0">
            <wp:extent cx="2180952" cy="2800000"/>
            <wp:effectExtent l="0" t="0" r="0" b="63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een treni.png"/>
                    <pic:cNvPicPr/>
                  </pic:nvPicPr>
                  <pic:blipFill>
                    <a:blip r:embed="rId8">
                      <a:extLst>
                        <a:ext uri="{28A0092B-C50C-407E-A947-70E740481C1C}">
                          <a14:useLocalDpi xmlns:a14="http://schemas.microsoft.com/office/drawing/2010/main" val="0"/>
                        </a:ext>
                      </a:extLst>
                    </a:blip>
                    <a:stretch>
                      <a:fillRect/>
                    </a:stretch>
                  </pic:blipFill>
                  <pic:spPr>
                    <a:xfrm>
                      <a:off x="0" y="0"/>
                      <a:ext cx="2180952" cy="2800000"/>
                    </a:xfrm>
                    <a:prstGeom prst="rect">
                      <a:avLst/>
                    </a:prstGeom>
                  </pic:spPr>
                </pic:pic>
              </a:graphicData>
            </a:graphic>
          </wp:inline>
        </w:drawing>
      </w:r>
    </w:p>
    <w:p w:rsidR="00536853" w:rsidRPr="000708EB" w:rsidRDefault="00536853">
      <w:pPr>
        <w:rPr>
          <w:b/>
          <w:color w:val="002060"/>
        </w:rPr>
      </w:pPr>
    </w:p>
    <w:p w:rsidR="00536853" w:rsidRPr="000708EB" w:rsidRDefault="00536853" w:rsidP="00160582">
      <w:pPr>
        <w:jc w:val="both"/>
        <w:rPr>
          <w:color w:val="002060"/>
        </w:rPr>
      </w:pPr>
      <w:r w:rsidRPr="000708EB">
        <w:rPr>
          <w:color w:val="002060"/>
        </w:rPr>
        <w:t>Oggi il trasporto su strada rappresenta i tre quarti (72%) delle emissioni di gas a effetto serra dell’intero settore mobilità, che a sua volta rappresenta un quarto del totale di CO2 prodotta.</w:t>
      </w:r>
    </w:p>
    <w:p w:rsidR="00536853" w:rsidRPr="000708EB" w:rsidRDefault="00536853" w:rsidP="00160582">
      <w:pPr>
        <w:jc w:val="both"/>
        <w:rPr>
          <w:color w:val="002060"/>
        </w:rPr>
      </w:pPr>
      <w:r w:rsidRPr="000708EB">
        <w:rPr>
          <w:color w:val="002060"/>
        </w:rPr>
        <w:t>Il trasporto ferroviario incide per </w:t>
      </w:r>
      <w:r w:rsidRPr="000708EB">
        <w:rPr>
          <w:bCs/>
          <w:color w:val="002060"/>
        </w:rPr>
        <w:t>appena lo 0,5%</w:t>
      </w:r>
      <w:r w:rsidRPr="000708EB">
        <w:rPr>
          <w:color w:val="002060"/>
        </w:rPr>
        <w:t>. </w:t>
      </w:r>
    </w:p>
    <w:p w:rsidR="00536853" w:rsidRDefault="00536853" w:rsidP="00160582">
      <w:pPr>
        <w:jc w:val="both"/>
        <w:rPr>
          <w:color w:val="002060"/>
        </w:rPr>
      </w:pPr>
      <w:r w:rsidRPr="000708EB">
        <w:rPr>
          <w:color w:val="002060"/>
        </w:rPr>
        <w:t xml:space="preserve">La transizione verso un modello a zero emissioni di gas a effetto serra passa per le soluzioni su rotaie. </w:t>
      </w:r>
    </w:p>
    <w:p w:rsidR="00006542" w:rsidRDefault="00006542" w:rsidP="00160582">
      <w:pPr>
        <w:jc w:val="both"/>
        <w:rPr>
          <w:color w:val="002060"/>
        </w:rPr>
      </w:pPr>
      <w:r w:rsidRPr="00006542">
        <w:rPr>
          <w:color w:val="002060"/>
        </w:rPr>
        <w:t>Se analizziamo le dinamiche del consumo di energia nelle diverse modalità di trasporto tra il 1990 ed il 2016 emergono interessanti elementi anche nell’evoluzione tecnologica dei mezzi. Il grafico successivo evidenzia che il trasporto aereo, il trasporto navale e il trasporto stradale hanno incrementato significativamente il consumo energetico nel periodo 1990-2016, in UE-33: il trasporto aereo con un incremento del 94%, quello marittimo del 26%, quello stradale del 31%. Il trasporto “fluviale” (- 25%) e quello ferroviario (- 20%) hanno invece registrato una riduzione significativa del proprio fabbisogno energetico.</w:t>
      </w:r>
    </w:p>
    <w:p w:rsidR="00006542" w:rsidRDefault="00B67251" w:rsidP="00160582">
      <w:pPr>
        <w:jc w:val="both"/>
        <w:rPr>
          <w:color w:val="002060"/>
        </w:rPr>
      </w:pPr>
      <w:r>
        <w:rPr>
          <w:noProof/>
          <w:color w:val="002060"/>
          <w:lang w:eastAsia="it-IT"/>
        </w:rPr>
        <w:lastRenderedPageBreak/>
        <w:drawing>
          <wp:inline distT="0" distB="0" distL="0" distR="0" wp14:anchorId="0D659E92">
            <wp:extent cx="5724525" cy="2889885"/>
            <wp:effectExtent l="0" t="0" r="9525" b="571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4525" cy="2889885"/>
                    </a:xfrm>
                    <a:prstGeom prst="rect">
                      <a:avLst/>
                    </a:prstGeom>
                    <a:noFill/>
                  </pic:spPr>
                </pic:pic>
              </a:graphicData>
            </a:graphic>
          </wp:inline>
        </w:drawing>
      </w:r>
    </w:p>
    <w:p w:rsidR="00B67251" w:rsidRPr="00B67251" w:rsidRDefault="00B67251" w:rsidP="00B67251">
      <w:pPr>
        <w:jc w:val="both"/>
        <w:rPr>
          <w:color w:val="002060"/>
          <w:lang w:bidi="it-IT"/>
        </w:rPr>
      </w:pPr>
      <w:r w:rsidRPr="00B67251">
        <w:rPr>
          <w:color w:val="002060"/>
          <w:lang w:bidi="it-IT"/>
        </w:rPr>
        <w:t>Il trasporto ferroviario consuma molta meno energia rispetto a quello stradale per due motivi:</w:t>
      </w:r>
    </w:p>
    <w:p w:rsidR="00B67251" w:rsidRPr="00B67251" w:rsidRDefault="00B67251" w:rsidP="00B67251">
      <w:pPr>
        <w:numPr>
          <w:ilvl w:val="0"/>
          <w:numId w:val="4"/>
        </w:numPr>
        <w:jc w:val="both"/>
        <w:rPr>
          <w:color w:val="002060"/>
          <w:lang w:bidi="it-IT"/>
        </w:rPr>
      </w:pPr>
      <w:r w:rsidRPr="00B67251">
        <w:rPr>
          <w:color w:val="002060"/>
          <w:lang w:bidi="it-IT"/>
        </w:rPr>
        <w:t>rappresenta una quota modale minore;</w:t>
      </w:r>
    </w:p>
    <w:p w:rsidR="00B67251" w:rsidRPr="00B67251" w:rsidRDefault="00B67251" w:rsidP="00B67251">
      <w:pPr>
        <w:numPr>
          <w:ilvl w:val="0"/>
          <w:numId w:val="4"/>
        </w:numPr>
        <w:jc w:val="both"/>
        <w:rPr>
          <w:color w:val="002060"/>
          <w:lang w:bidi="it-IT"/>
        </w:rPr>
      </w:pPr>
      <w:r w:rsidRPr="00B67251">
        <w:rPr>
          <w:color w:val="002060"/>
          <w:lang w:bidi="it-IT"/>
        </w:rPr>
        <w:t>il trasporto ferroviario risulta essere, come vedremo in seguito, dal punto di vista energetico molto più efficiente (1/6 rispetto al trasporto su gomma).</w:t>
      </w:r>
    </w:p>
    <w:p w:rsidR="00B67251" w:rsidRPr="00B67251" w:rsidRDefault="00B67251" w:rsidP="00B67251">
      <w:pPr>
        <w:jc w:val="both"/>
        <w:rPr>
          <w:color w:val="002060"/>
          <w:lang w:bidi="it-IT"/>
        </w:rPr>
      </w:pPr>
      <w:r w:rsidRPr="00B67251">
        <w:rPr>
          <w:color w:val="002060"/>
          <w:lang w:bidi="it-IT"/>
        </w:rPr>
        <w:t>La crescita dei consumi e della richiesta energetica registrata finora è molto allarmante per il contesto europeo; oggi per muovere merci e passeggeri dipendiamo principalmente dai combustibili fossili: infatti il 95% dell’energia finale consumata dal trasporto è derivata dal petrolio.</w:t>
      </w:r>
    </w:p>
    <w:p w:rsidR="00B67251" w:rsidRPr="00B67251" w:rsidRDefault="00B67251" w:rsidP="00B67251">
      <w:pPr>
        <w:jc w:val="both"/>
        <w:rPr>
          <w:color w:val="002060"/>
          <w:lang w:bidi="it-IT"/>
        </w:rPr>
      </w:pPr>
      <w:r w:rsidRPr="00B67251">
        <w:rPr>
          <w:color w:val="002060"/>
          <w:lang w:bidi="it-IT"/>
        </w:rPr>
        <w:t>Obiettivo dell'Europa è ridurre la dipendenza attuale dovuta all'import energetico di combustibili fossili, cercando di sviluppare sempre più la produzione e l’utilizzo di energia da fonti rinnovabili.</w:t>
      </w:r>
    </w:p>
    <w:p w:rsidR="00B67251" w:rsidRPr="00B67251" w:rsidRDefault="00B67251" w:rsidP="00B67251">
      <w:pPr>
        <w:jc w:val="both"/>
        <w:rPr>
          <w:color w:val="002060"/>
          <w:lang w:bidi="it-IT"/>
        </w:rPr>
      </w:pPr>
      <w:r w:rsidRPr="00B67251">
        <w:rPr>
          <w:color w:val="002060"/>
          <w:lang w:bidi="it-IT"/>
        </w:rPr>
        <w:t xml:space="preserve">L’energia elettrica, prodotta da </w:t>
      </w:r>
      <w:r w:rsidRPr="00B67251">
        <w:rPr>
          <w:b/>
          <w:color w:val="002060"/>
          <w:lang w:bidi="it-IT"/>
        </w:rPr>
        <w:t>fonti rinnovabili</w:t>
      </w:r>
      <w:r w:rsidRPr="00B67251">
        <w:rPr>
          <w:color w:val="002060"/>
          <w:lang w:bidi="it-IT"/>
        </w:rPr>
        <w:t>, è quindi la fonte energetica maggiormente utilizzata ed in futuro utilizzabile per una transizione ecologica del settore dei trasporti.</w:t>
      </w:r>
    </w:p>
    <w:p w:rsidR="00B67251" w:rsidRPr="000708EB" w:rsidRDefault="00B67251" w:rsidP="00160582">
      <w:pPr>
        <w:jc w:val="both"/>
        <w:rPr>
          <w:color w:val="002060"/>
        </w:rPr>
      </w:pPr>
    </w:p>
    <w:p w:rsidR="00536853" w:rsidRPr="000708EB" w:rsidRDefault="00536853">
      <w:pPr>
        <w:rPr>
          <w:b/>
          <w:color w:val="002060"/>
        </w:rPr>
      </w:pPr>
    </w:p>
    <w:p w:rsidR="00536853" w:rsidRPr="000708EB" w:rsidRDefault="00536853">
      <w:pPr>
        <w:rPr>
          <w:b/>
          <w:color w:val="002060"/>
        </w:rPr>
      </w:pPr>
    </w:p>
    <w:p w:rsidR="00536853" w:rsidRPr="000708EB" w:rsidRDefault="00536853">
      <w:pPr>
        <w:rPr>
          <w:b/>
          <w:color w:val="002060"/>
        </w:rPr>
      </w:pPr>
    </w:p>
    <w:p w:rsidR="00536853" w:rsidRPr="000708EB" w:rsidRDefault="00536853">
      <w:pPr>
        <w:rPr>
          <w:b/>
          <w:color w:val="002060"/>
        </w:rPr>
      </w:pPr>
    </w:p>
    <w:p w:rsidR="00EA6B8A" w:rsidRDefault="00EA6B8A">
      <w:pPr>
        <w:rPr>
          <w:b/>
          <w:color w:val="002060"/>
        </w:rPr>
      </w:pPr>
    </w:p>
    <w:p w:rsidR="00536853" w:rsidRDefault="000A2B69">
      <w:pPr>
        <w:rPr>
          <w:b/>
          <w:color w:val="002060"/>
        </w:rPr>
      </w:pPr>
      <w:r>
        <w:rPr>
          <w:b/>
          <w:color w:val="002060"/>
        </w:rPr>
        <w:lastRenderedPageBreak/>
        <w:t>IL CARO VOLI</w:t>
      </w:r>
      <w:r w:rsidR="00CA3DB8">
        <w:rPr>
          <w:b/>
          <w:color w:val="002060"/>
        </w:rPr>
        <w:t xml:space="preserve"> E IL CONFINO SICILIANO</w:t>
      </w:r>
    </w:p>
    <w:p w:rsidR="000A2B69" w:rsidRDefault="000A2B69">
      <w:pPr>
        <w:rPr>
          <w:b/>
          <w:color w:val="002060"/>
        </w:rPr>
      </w:pPr>
      <w:r>
        <w:rPr>
          <w:color w:val="002060"/>
        </w:rPr>
        <w:t xml:space="preserve">Prima lo scandalo scoppiava ogni anno per le feste o i ponti di primavera. Oggi lo scandalo è diventata la regola. </w:t>
      </w:r>
      <w:r w:rsidR="0047674D">
        <w:rPr>
          <w:color w:val="002060"/>
        </w:rPr>
        <w:t xml:space="preserve">In tempi di ripresa post </w:t>
      </w:r>
      <w:proofErr w:type="spellStart"/>
      <w:r w:rsidR="0047674D">
        <w:rPr>
          <w:color w:val="002060"/>
        </w:rPr>
        <w:t>Covid</w:t>
      </w:r>
      <w:proofErr w:type="spellEnd"/>
      <w:r w:rsidR="0047674D">
        <w:rPr>
          <w:color w:val="002060"/>
        </w:rPr>
        <w:t xml:space="preserve"> u</w:t>
      </w:r>
      <w:r>
        <w:rPr>
          <w:color w:val="002060"/>
        </w:rPr>
        <w:t>n biglietto aereo Palermo-Roma o Catania-Roma costa mediamente 600 euro</w:t>
      </w:r>
      <w:r w:rsidR="0047674D">
        <w:rPr>
          <w:color w:val="002060"/>
        </w:rPr>
        <w:t xml:space="preserve"> e sono pochissimi i voli disponibili</w:t>
      </w:r>
      <w:r>
        <w:rPr>
          <w:color w:val="002060"/>
        </w:rPr>
        <w:t xml:space="preserve">. </w:t>
      </w:r>
      <w:r w:rsidR="0047674D">
        <w:rPr>
          <w:color w:val="002060"/>
        </w:rPr>
        <w:t xml:space="preserve">La riduzione delle tratte, i nuovi vincoli che il Decreto Rilancio impone alle </w:t>
      </w:r>
      <w:proofErr w:type="spellStart"/>
      <w:r w:rsidR="0047674D">
        <w:rPr>
          <w:color w:val="002060"/>
        </w:rPr>
        <w:t>low</w:t>
      </w:r>
      <w:proofErr w:type="spellEnd"/>
      <w:r w:rsidR="0047674D">
        <w:rPr>
          <w:color w:val="002060"/>
        </w:rPr>
        <w:t xml:space="preserve"> </w:t>
      </w:r>
      <w:proofErr w:type="spellStart"/>
      <w:r w:rsidR="0047674D">
        <w:rPr>
          <w:color w:val="002060"/>
        </w:rPr>
        <w:t>cost</w:t>
      </w:r>
      <w:proofErr w:type="spellEnd"/>
      <w:r w:rsidR="0047674D">
        <w:rPr>
          <w:color w:val="002060"/>
        </w:rPr>
        <w:t xml:space="preserve">, l’abbandono di Birgi da parte di Alitalia sono alcune delle cause che costringono i siciliani alla condizione di confinati. </w:t>
      </w:r>
    </w:p>
    <w:p w:rsidR="000A2B69" w:rsidRDefault="00CA3DB8">
      <w:pPr>
        <w:rPr>
          <w:b/>
          <w:color w:val="002060"/>
        </w:rPr>
      </w:pPr>
      <w:r>
        <w:rPr>
          <w:b/>
          <w:color w:val="002060"/>
        </w:rPr>
        <w:t>Palermo/Catania-Milano e ritorno: due voli al giorno</w:t>
      </w:r>
    </w:p>
    <w:p w:rsidR="00CA3DB8" w:rsidRDefault="00CA3DB8">
      <w:pPr>
        <w:rPr>
          <w:b/>
          <w:color w:val="002060"/>
        </w:rPr>
      </w:pPr>
      <w:r>
        <w:rPr>
          <w:b/>
          <w:color w:val="002060"/>
        </w:rPr>
        <w:t>Palermo/Catania-Roma e ritorno: 5 voli al giorno</w:t>
      </w:r>
    </w:p>
    <w:p w:rsidR="000A2B69" w:rsidRPr="00CA3DB8" w:rsidRDefault="00CA3DB8" w:rsidP="00CA3DB8">
      <w:pPr>
        <w:jc w:val="both"/>
        <w:rPr>
          <w:color w:val="002060"/>
        </w:rPr>
      </w:pPr>
      <w:r>
        <w:rPr>
          <w:color w:val="002060"/>
        </w:rPr>
        <w:t xml:space="preserve">Come se il Mezzogiorno non fosse vittima di quello che lo </w:t>
      </w:r>
      <w:proofErr w:type="spellStart"/>
      <w:r>
        <w:rPr>
          <w:color w:val="002060"/>
        </w:rPr>
        <w:t>Svimez</w:t>
      </w:r>
      <w:proofErr w:type="spellEnd"/>
      <w:r>
        <w:rPr>
          <w:color w:val="002060"/>
        </w:rPr>
        <w:t xml:space="preserve"> ha chiamato Trappola Demografica. </w:t>
      </w:r>
      <w:r w:rsidRPr="00CA3DB8">
        <w:rPr>
          <w:color w:val="002060"/>
        </w:rPr>
        <w:t xml:space="preserve">Dal 2000 </w:t>
      </w:r>
      <w:r>
        <w:rPr>
          <w:color w:val="002060"/>
        </w:rPr>
        <w:t xml:space="preserve">a oggi </w:t>
      </w:r>
      <w:r w:rsidRPr="00CA3DB8">
        <w:rPr>
          <w:color w:val="002060"/>
        </w:rPr>
        <w:t xml:space="preserve">hanno lasciato il Mezzogiorno 2 milioni e 15mila residenti, la metà giovani fino a 34 anni, quasi un quinto laureati. Il meridione rischia di spopolarsi e questo crollo demografico ha un costo, stimato a oltre a un terzo del </w:t>
      </w:r>
      <w:proofErr w:type="spellStart"/>
      <w:r w:rsidRPr="00CA3DB8">
        <w:rPr>
          <w:color w:val="002060"/>
        </w:rPr>
        <w:t>Pil</w:t>
      </w:r>
      <w:proofErr w:type="spellEnd"/>
      <w:r w:rsidRPr="00CA3DB8">
        <w:rPr>
          <w:color w:val="002060"/>
        </w:rPr>
        <w:t>. </w:t>
      </w:r>
      <w:r w:rsidRPr="00CA3DB8">
        <w:rPr>
          <w:bCs/>
          <w:iCs/>
          <w:color w:val="002060"/>
        </w:rPr>
        <w:t>Parallelamente alla fuga dal Mezzogiorno, cresce il gap occupazionale tra Sud e Centro-Nord, che nell'ultimo decennio è aumentato dal 19,6% al 21,6%. In totale il Sud si ritrova 3 milioni di posti di lavoro in meno rispetto al resto d'Italia. Analogamente la qualità del lavoro peggiora da Roma in giù. Al Sud aumenta la precarietà che si riduce invece nel Centro-Nord, mentre cresce il part-time (+1,2%), in particolare involontario, che nel meridione raggiunge l'80% rispetto al 58% del Centro-Nord. </w:t>
      </w:r>
    </w:p>
    <w:p w:rsidR="000A2B69" w:rsidRPr="00CA3DB8" w:rsidRDefault="00F151A7" w:rsidP="00CA3DB8">
      <w:pPr>
        <w:jc w:val="both"/>
        <w:rPr>
          <w:color w:val="002060"/>
        </w:rPr>
      </w:pPr>
      <w:r>
        <w:rPr>
          <w:color w:val="002060"/>
        </w:rPr>
        <w:t xml:space="preserve">Per quest’onda di emigrazione intellettuale tornare a casa non è più una necessità, ma un lusso. </w:t>
      </w:r>
    </w:p>
    <w:p w:rsidR="000A2B69" w:rsidRDefault="000A2B69">
      <w:pPr>
        <w:rPr>
          <w:b/>
          <w:color w:val="002060"/>
        </w:rPr>
      </w:pPr>
    </w:p>
    <w:p w:rsidR="000A2B69" w:rsidRDefault="000A2B69">
      <w:pPr>
        <w:rPr>
          <w:b/>
          <w:color w:val="002060"/>
        </w:rPr>
      </w:pPr>
    </w:p>
    <w:p w:rsidR="000A2B69" w:rsidRDefault="000A2B69">
      <w:pPr>
        <w:rPr>
          <w:b/>
          <w:color w:val="002060"/>
        </w:rPr>
      </w:pPr>
    </w:p>
    <w:p w:rsidR="000A2B69" w:rsidRDefault="000A2B69">
      <w:pPr>
        <w:rPr>
          <w:b/>
          <w:color w:val="002060"/>
        </w:rPr>
      </w:pPr>
    </w:p>
    <w:p w:rsidR="000A2B69" w:rsidRDefault="000A2B69">
      <w:pPr>
        <w:rPr>
          <w:b/>
          <w:color w:val="002060"/>
        </w:rPr>
      </w:pPr>
    </w:p>
    <w:p w:rsidR="000A2B69" w:rsidRDefault="000A2B69">
      <w:pPr>
        <w:rPr>
          <w:b/>
          <w:color w:val="002060"/>
        </w:rPr>
      </w:pPr>
    </w:p>
    <w:p w:rsidR="000A2B69" w:rsidRDefault="000A2B69">
      <w:pPr>
        <w:rPr>
          <w:b/>
          <w:color w:val="002060"/>
        </w:rPr>
      </w:pPr>
    </w:p>
    <w:p w:rsidR="000A2B69" w:rsidRDefault="000A2B69">
      <w:pPr>
        <w:rPr>
          <w:b/>
          <w:color w:val="002060"/>
        </w:rPr>
      </w:pPr>
    </w:p>
    <w:p w:rsidR="000A2B69" w:rsidRDefault="000A2B69">
      <w:pPr>
        <w:rPr>
          <w:b/>
          <w:color w:val="002060"/>
        </w:rPr>
      </w:pPr>
    </w:p>
    <w:p w:rsidR="000A2B69" w:rsidRDefault="000A2B69">
      <w:pPr>
        <w:rPr>
          <w:b/>
          <w:color w:val="002060"/>
        </w:rPr>
      </w:pPr>
    </w:p>
    <w:p w:rsidR="001E129E" w:rsidRPr="000708EB" w:rsidRDefault="00CB1A3C">
      <w:pPr>
        <w:rPr>
          <w:b/>
          <w:color w:val="002060"/>
        </w:rPr>
      </w:pPr>
      <w:r w:rsidRPr="000708EB">
        <w:rPr>
          <w:b/>
          <w:color w:val="002060"/>
        </w:rPr>
        <w:lastRenderedPageBreak/>
        <w:t>LA STORIA</w:t>
      </w:r>
      <w:r w:rsidR="00A3554F" w:rsidRPr="000708EB">
        <w:rPr>
          <w:b/>
          <w:color w:val="002060"/>
        </w:rPr>
        <w:t xml:space="preserve"> DEL PONTE</w:t>
      </w:r>
    </w:p>
    <w:p w:rsidR="00D02CDA" w:rsidRDefault="00E81971" w:rsidP="00135E70">
      <w:pPr>
        <w:jc w:val="both"/>
        <w:rPr>
          <w:color w:val="002060"/>
        </w:rPr>
      </w:pPr>
      <w:r w:rsidRPr="000708EB">
        <w:rPr>
          <w:color w:val="002060"/>
        </w:rPr>
        <w:t>LA TELA DI PENELOPE</w:t>
      </w:r>
    </w:p>
    <w:p w:rsidR="00B053C2" w:rsidRPr="000708EB" w:rsidRDefault="00CE6F00" w:rsidP="00135E70">
      <w:pPr>
        <w:jc w:val="both"/>
        <w:rPr>
          <w:color w:val="002060"/>
        </w:rPr>
      </w:pPr>
      <w:r w:rsidRPr="000708EB">
        <w:rPr>
          <w:color w:val="002060"/>
        </w:rPr>
        <w:t>65 ANNI</w:t>
      </w:r>
      <w:r w:rsidR="00D02CDA">
        <w:rPr>
          <w:color w:val="002060"/>
        </w:rPr>
        <w:t xml:space="preserve"> DALLA PRIMA LEGGE</w:t>
      </w:r>
      <w:r w:rsidRPr="000708EB">
        <w:rPr>
          <w:color w:val="002060"/>
        </w:rPr>
        <w:t>, 10.000 documenti, 30 tra leggi, delibere, accordi, contratti</w:t>
      </w:r>
      <w:r w:rsidR="007E5DDF" w:rsidRPr="000708EB">
        <w:rPr>
          <w:color w:val="002060"/>
        </w:rPr>
        <w:t xml:space="preserve"> </w:t>
      </w:r>
    </w:p>
    <w:p w:rsidR="007E5DDF" w:rsidRPr="000708EB" w:rsidRDefault="007E5DDF" w:rsidP="00135E70">
      <w:pPr>
        <w:pStyle w:val="Paragrafoelenco"/>
        <w:numPr>
          <w:ilvl w:val="0"/>
          <w:numId w:val="3"/>
        </w:numPr>
        <w:jc w:val="both"/>
        <w:rPr>
          <w:color w:val="002060"/>
        </w:rPr>
      </w:pPr>
      <w:r w:rsidRPr="000708EB">
        <w:rPr>
          <w:color w:val="002060"/>
        </w:rPr>
        <w:t xml:space="preserve">La prima traccia </w:t>
      </w:r>
      <w:r w:rsidR="00E81971" w:rsidRPr="000708EB">
        <w:rPr>
          <w:color w:val="002060"/>
        </w:rPr>
        <w:t xml:space="preserve">normativa </w:t>
      </w:r>
      <w:r w:rsidRPr="000708EB">
        <w:rPr>
          <w:color w:val="002060"/>
        </w:rPr>
        <w:t>di un ponte sullo Stretto risale a una legge della Regione Siciliana, la n. 2 del 27 gennaio 1955. L’Ars proponeva studi preliminari, indagini geologiche e geofisiche per accertare la possibilità di effettuare attraverso un ponte sospeso un collegamento tra la Sicilia e la Calabria.</w:t>
      </w:r>
    </w:p>
    <w:p w:rsidR="00B053C2" w:rsidRPr="000708EB" w:rsidRDefault="007E5DDF" w:rsidP="00135E70">
      <w:pPr>
        <w:pStyle w:val="Paragrafoelenco"/>
        <w:numPr>
          <w:ilvl w:val="0"/>
          <w:numId w:val="3"/>
        </w:numPr>
        <w:jc w:val="both"/>
        <w:rPr>
          <w:color w:val="002060"/>
        </w:rPr>
      </w:pPr>
      <w:r w:rsidRPr="000708EB">
        <w:rPr>
          <w:color w:val="002060"/>
        </w:rPr>
        <w:t>Poi la legge statale n. 384 del 28 marzo 1968 provvedeva a finanziare un conco</w:t>
      </w:r>
      <w:r w:rsidR="001E129E" w:rsidRPr="000708EB">
        <w:rPr>
          <w:color w:val="002060"/>
        </w:rPr>
        <w:t>r</w:t>
      </w:r>
      <w:r w:rsidRPr="000708EB">
        <w:rPr>
          <w:color w:val="002060"/>
        </w:rPr>
        <w:t xml:space="preserve">so di idee per un collegamento che fosse sia viario che ferroviario. </w:t>
      </w:r>
    </w:p>
    <w:p w:rsidR="00E87A07" w:rsidRPr="000708EB" w:rsidRDefault="007E5DDF" w:rsidP="00135E70">
      <w:pPr>
        <w:pStyle w:val="Paragrafoelenco"/>
        <w:numPr>
          <w:ilvl w:val="0"/>
          <w:numId w:val="3"/>
        </w:numPr>
        <w:jc w:val="both"/>
        <w:rPr>
          <w:color w:val="002060"/>
        </w:rPr>
      </w:pPr>
      <w:r w:rsidRPr="000708EB">
        <w:rPr>
          <w:color w:val="002060"/>
        </w:rPr>
        <w:t xml:space="preserve">Un Decreto Ministeriale del 12 maggio 1969 </w:t>
      </w:r>
      <w:r w:rsidR="001E129E" w:rsidRPr="000708EB">
        <w:rPr>
          <w:color w:val="002060"/>
        </w:rPr>
        <w:t>bandì un concorso di idee o di progetti di massima per stabilire se, e con quali sistemi, potesse essere effettuato il collegamento stabile viario e ferroviario tra la Sicilia ed il continente.</w:t>
      </w:r>
      <w:r w:rsidR="00E87A07" w:rsidRPr="000708EB">
        <w:rPr>
          <w:color w:val="002060"/>
        </w:rPr>
        <w:t xml:space="preserve"> Furono presentati 143 progetti dei quali 125 elaborati da gruppi composti da progettisti prevalentemente italiani, 8 progetti americani, 3 inglesi, 3 francesi, 1 tedesco, 1 svedese, 1 argentino e 1 somalo. </w:t>
      </w:r>
    </w:p>
    <w:p w:rsidR="001206FC" w:rsidRPr="000708EB" w:rsidRDefault="001206FC" w:rsidP="00135E70">
      <w:pPr>
        <w:pStyle w:val="Paragrafoelenco"/>
        <w:numPr>
          <w:ilvl w:val="0"/>
          <w:numId w:val="3"/>
        </w:numPr>
        <w:jc w:val="both"/>
        <w:rPr>
          <w:color w:val="002060"/>
        </w:rPr>
      </w:pPr>
      <w:r w:rsidRPr="000708EB">
        <w:rPr>
          <w:color w:val="002060"/>
        </w:rPr>
        <w:t xml:space="preserve">1971. Con la </w:t>
      </w:r>
      <w:r w:rsidR="001E129E" w:rsidRPr="000708EB">
        <w:rPr>
          <w:color w:val="002060"/>
        </w:rPr>
        <w:t xml:space="preserve">legge 17 dicembre 1971 n. 1158 lo Stato italiano </w:t>
      </w:r>
      <w:r w:rsidRPr="000708EB">
        <w:rPr>
          <w:color w:val="002060"/>
        </w:rPr>
        <w:t>procede</w:t>
      </w:r>
      <w:r w:rsidR="001E129E" w:rsidRPr="000708EB">
        <w:rPr>
          <w:color w:val="002060"/>
        </w:rPr>
        <w:t xml:space="preserve"> alla costituzione di una società di progetto </w:t>
      </w:r>
      <w:r w:rsidR="001E129E" w:rsidRPr="000708EB">
        <w:rPr>
          <w:i/>
          <w:iCs/>
          <w:color w:val="002060"/>
        </w:rPr>
        <w:t>ante litteram</w:t>
      </w:r>
      <w:r w:rsidRPr="000708EB">
        <w:rPr>
          <w:i/>
          <w:iCs/>
          <w:color w:val="002060"/>
        </w:rPr>
        <w:t xml:space="preserve">. </w:t>
      </w:r>
      <w:r w:rsidRPr="000708EB">
        <w:rPr>
          <w:color w:val="002060"/>
        </w:rPr>
        <w:t xml:space="preserve">Governo Colombo. </w:t>
      </w:r>
    </w:p>
    <w:p w:rsidR="001722D8" w:rsidRPr="000708EB" w:rsidRDefault="001206FC" w:rsidP="00135E70">
      <w:pPr>
        <w:pStyle w:val="Paragrafoelenco"/>
        <w:numPr>
          <w:ilvl w:val="1"/>
          <w:numId w:val="3"/>
        </w:numPr>
        <w:jc w:val="both"/>
        <w:rPr>
          <w:color w:val="002060"/>
        </w:rPr>
      </w:pPr>
      <w:r w:rsidRPr="000708EB">
        <w:rPr>
          <w:color w:val="002060"/>
        </w:rPr>
        <w:t>L</w:t>
      </w:r>
      <w:r w:rsidR="001722D8" w:rsidRPr="000708EB">
        <w:rPr>
          <w:color w:val="002060"/>
        </w:rPr>
        <w:t xml:space="preserve">a </w:t>
      </w:r>
      <w:r w:rsidRPr="000708EB">
        <w:rPr>
          <w:color w:val="002060"/>
        </w:rPr>
        <w:t>norma</w:t>
      </w:r>
      <w:r w:rsidR="001722D8" w:rsidRPr="000708EB">
        <w:rPr>
          <w:color w:val="002060"/>
        </w:rPr>
        <w:t xml:space="preserve">, all’art. 1, disponeva infatti che alla realizzazione di un collegamento stabile viario e ferroviario e di altri servizi pubblici fra la Sicilia e il continente si provvedesse mediante affidamento dello studio, della progettazione e della costruzione nonché dell'esercizio del solo collegamento viario, ad una società per azioni al cui capitale partecipi direttamente o indirettamente l'IRI con almeno il 51 per cento e, per il restante 49 per cento, le Ferrovie dello Stato, l'ANAS, le regioni Sicilia e Calabria ed altre amministrazioni ed enti pubblici. La S.p.a. veniva costituita quasi 10 anni dopo, l’11 giugno 1981. </w:t>
      </w:r>
    </w:p>
    <w:p w:rsidR="00DA53C7" w:rsidRPr="000708EB" w:rsidRDefault="00DA53C7" w:rsidP="00135E70">
      <w:pPr>
        <w:pStyle w:val="Paragrafoelenco"/>
        <w:numPr>
          <w:ilvl w:val="0"/>
          <w:numId w:val="3"/>
        </w:numPr>
        <w:autoSpaceDE w:val="0"/>
        <w:autoSpaceDN w:val="0"/>
        <w:adjustRightInd w:val="0"/>
        <w:spacing w:after="0" w:line="240" w:lineRule="auto"/>
        <w:jc w:val="both"/>
        <w:rPr>
          <w:rFonts w:cstheme="minorHAnsi"/>
          <w:color w:val="002060"/>
        </w:rPr>
      </w:pPr>
      <w:r w:rsidRPr="000708EB">
        <w:rPr>
          <w:color w:val="002060"/>
        </w:rPr>
        <w:t xml:space="preserve">Nel 1985 una tappa cruciale. </w:t>
      </w:r>
      <w:r w:rsidR="001722D8" w:rsidRPr="000708EB">
        <w:rPr>
          <w:color w:val="002060"/>
        </w:rPr>
        <w:t xml:space="preserve">Il decreto interministeriale n. 3437 del 27 dicembre 1985 da parte dei Ministri dei lavori pubblici e dei trasporti, bilancio e della programmazione economica, del tesoro, delle partecipazioni statali e della marina mercantile, </w:t>
      </w:r>
      <w:r w:rsidR="001722D8" w:rsidRPr="000708EB">
        <w:rPr>
          <w:b/>
          <w:color w:val="002060"/>
        </w:rPr>
        <w:t xml:space="preserve">affida in concessione alla società "Stretto di Messina </w:t>
      </w:r>
      <w:proofErr w:type="spellStart"/>
      <w:r w:rsidR="001722D8" w:rsidRPr="000708EB">
        <w:rPr>
          <w:b/>
          <w:color w:val="002060"/>
        </w:rPr>
        <w:t>S.p.a</w:t>
      </w:r>
      <w:proofErr w:type="spellEnd"/>
      <w:r w:rsidR="001722D8" w:rsidRPr="000708EB">
        <w:rPr>
          <w:b/>
          <w:color w:val="002060"/>
        </w:rPr>
        <w:t xml:space="preserve">" lo studio, la progettazione e la costruzione </w:t>
      </w:r>
      <w:r w:rsidR="001722D8" w:rsidRPr="000708EB">
        <w:rPr>
          <w:color w:val="002060"/>
        </w:rPr>
        <w:t xml:space="preserve">del collegamento viario e ferroviario, nonché l'esercizio del solo collegamento viario tra la Sicilia e il continente. </w:t>
      </w:r>
      <w:r w:rsidRPr="000708EB">
        <w:rPr>
          <w:color w:val="002060"/>
        </w:rPr>
        <w:t>Governo Craxi.</w:t>
      </w:r>
    </w:p>
    <w:p w:rsidR="001E129E" w:rsidRPr="000708EB" w:rsidRDefault="001722D8" w:rsidP="00135E70">
      <w:pPr>
        <w:pStyle w:val="Paragrafoelenco"/>
        <w:numPr>
          <w:ilvl w:val="1"/>
          <w:numId w:val="3"/>
        </w:numPr>
        <w:autoSpaceDE w:val="0"/>
        <w:autoSpaceDN w:val="0"/>
        <w:adjustRightInd w:val="0"/>
        <w:spacing w:after="0" w:line="240" w:lineRule="auto"/>
        <w:jc w:val="both"/>
        <w:rPr>
          <w:rFonts w:cstheme="minorHAnsi"/>
          <w:color w:val="002060"/>
        </w:rPr>
      </w:pPr>
      <w:r w:rsidRPr="000708EB">
        <w:rPr>
          <w:rFonts w:cstheme="minorHAnsi"/>
          <w:color w:val="002060"/>
        </w:rPr>
        <w:t>Nel dicembre 1992 la Società stessa presenta il progetto di massima per il ponte sospeso.</w:t>
      </w:r>
      <w:r w:rsidR="00DA53C7" w:rsidRPr="000708EB">
        <w:rPr>
          <w:rFonts w:cstheme="minorHAnsi"/>
          <w:color w:val="002060"/>
        </w:rPr>
        <w:t xml:space="preserve"> </w:t>
      </w:r>
    </w:p>
    <w:p w:rsidR="001722D8" w:rsidRPr="000708EB" w:rsidRDefault="001722D8" w:rsidP="00135E70">
      <w:pPr>
        <w:pStyle w:val="Paragrafoelenco"/>
        <w:numPr>
          <w:ilvl w:val="0"/>
          <w:numId w:val="3"/>
        </w:numPr>
        <w:autoSpaceDE w:val="0"/>
        <w:autoSpaceDN w:val="0"/>
        <w:adjustRightInd w:val="0"/>
        <w:spacing w:after="0" w:line="240" w:lineRule="auto"/>
        <w:jc w:val="both"/>
        <w:rPr>
          <w:rFonts w:cstheme="minorHAnsi"/>
          <w:color w:val="002060"/>
        </w:rPr>
      </w:pPr>
      <w:r w:rsidRPr="000708EB">
        <w:rPr>
          <w:rFonts w:cstheme="minorHAnsi"/>
          <w:color w:val="002060"/>
        </w:rPr>
        <w:lastRenderedPageBreak/>
        <w:t>Direttiva del Presidente del Consiglio dei Ministri 23 gennaio 1987, con cui la società "Stretto di Messina" è stata dichiarata organismo di diritto pubblico</w:t>
      </w:r>
    </w:p>
    <w:p w:rsidR="001722D8" w:rsidRPr="000708EB" w:rsidRDefault="001722D8" w:rsidP="00135E70">
      <w:pPr>
        <w:pStyle w:val="Paragrafoelenco"/>
        <w:numPr>
          <w:ilvl w:val="0"/>
          <w:numId w:val="3"/>
        </w:numPr>
        <w:autoSpaceDE w:val="0"/>
        <w:autoSpaceDN w:val="0"/>
        <w:adjustRightInd w:val="0"/>
        <w:spacing w:after="0" w:line="240" w:lineRule="auto"/>
        <w:jc w:val="both"/>
        <w:rPr>
          <w:rFonts w:cstheme="minorHAnsi"/>
          <w:color w:val="002060"/>
        </w:rPr>
      </w:pPr>
      <w:r w:rsidRPr="000708EB">
        <w:rPr>
          <w:rFonts w:cstheme="minorHAnsi"/>
          <w:color w:val="002060"/>
        </w:rPr>
        <w:t xml:space="preserve">Modifiche alla legge 1158 del 17 dicembre 1971: </w:t>
      </w:r>
    </w:p>
    <w:p w:rsidR="00E87A07" w:rsidRPr="000708EB" w:rsidRDefault="00DA53C7" w:rsidP="00135E70">
      <w:pPr>
        <w:pStyle w:val="Paragrafoelenco"/>
        <w:numPr>
          <w:ilvl w:val="0"/>
          <w:numId w:val="3"/>
        </w:numPr>
        <w:jc w:val="both"/>
        <w:rPr>
          <w:rFonts w:cstheme="minorHAnsi"/>
          <w:color w:val="002060"/>
        </w:rPr>
      </w:pPr>
      <w:r w:rsidRPr="000708EB">
        <w:rPr>
          <w:rFonts w:cstheme="minorHAnsi"/>
          <w:color w:val="002060"/>
        </w:rPr>
        <w:t>Altro punto di svolta. La legge obiettivo</w:t>
      </w:r>
      <w:r w:rsidR="00E87A07" w:rsidRPr="000708EB">
        <w:rPr>
          <w:rFonts w:cstheme="minorHAnsi"/>
          <w:color w:val="002060"/>
        </w:rPr>
        <w:t xml:space="preserve"> 21 dicembre 2001</w:t>
      </w:r>
      <w:r w:rsidRPr="000708EB">
        <w:rPr>
          <w:rFonts w:cstheme="minorHAnsi"/>
          <w:color w:val="002060"/>
        </w:rPr>
        <w:t xml:space="preserve"> </w:t>
      </w:r>
      <w:r w:rsidR="00E87A07" w:rsidRPr="000708EB">
        <w:rPr>
          <w:rFonts w:cstheme="minorHAnsi"/>
          <w:color w:val="002060"/>
        </w:rPr>
        <w:t>n. 443 il Ponte viene inserito tra le opere di</w:t>
      </w:r>
      <w:r w:rsidR="00160582" w:rsidRPr="000708EB">
        <w:rPr>
          <w:rFonts w:cstheme="minorHAnsi"/>
          <w:color w:val="002060"/>
        </w:rPr>
        <w:t xml:space="preserve"> preminente interesse nazionale</w:t>
      </w:r>
      <w:r w:rsidR="00E87A07" w:rsidRPr="000708EB">
        <w:rPr>
          <w:rFonts w:cstheme="minorHAnsi"/>
          <w:color w:val="002060"/>
        </w:rPr>
        <w:t>. Governo Berlusconi</w:t>
      </w:r>
    </w:p>
    <w:p w:rsidR="00E87A07" w:rsidRPr="000708EB" w:rsidRDefault="00E87A07" w:rsidP="00135E70">
      <w:pPr>
        <w:pStyle w:val="Paragrafoelenco"/>
        <w:numPr>
          <w:ilvl w:val="0"/>
          <w:numId w:val="3"/>
        </w:numPr>
        <w:jc w:val="both"/>
        <w:rPr>
          <w:rFonts w:cstheme="minorHAnsi"/>
          <w:color w:val="002060"/>
        </w:rPr>
      </w:pPr>
      <w:r w:rsidRPr="000708EB">
        <w:rPr>
          <w:rFonts w:cstheme="minorHAnsi"/>
          <w:color w:val="002060"/>
        </w:rPr>
        <w:t>Legge 166 del 1 agosto 2002: si sancisce l’assoggettabilità alle norme relative alle società di diritto pubblico in materia di appalti.</w:t>
      </w:r>
    </w:p>
    <w:p w:rsidR="00DA53C7" w:rsidRPr="000708EB" w:rsidRDefault="00DA53C7" w:rsidP="00135E70">
      <w:pPr>
        <w:pStyle w:val="Paragrafoelenco"/>
        <w:numPr>
          <w:ilvl w:val="0"/>
          <w:numId w:val="3"/>
        </w:numPr>
        <w:autoSpaceDE w:val="0"/>
        <w:autoSpaceDN w:val="0"/>
        <w:adjustRightInd w:val="0"/>
        <w:spacing w:after="0" w:line="240" w:lineRule="auto"/>
        <w:jc w:val="both"/>
        <w:rPr>
          <w:rFonts w:cstheme="minorHAnsi"/>
          <w:color w:val="002060"/>
        </w:rPr>
      </w:pPr>
      <w:r w:rsidRPr="000708EB">
        <w:rPr>
          <w:rFonts w:cstheme="minorHAnsi"/>
          <w:color w:val="002060"/>
        </w:rPr>
        <w:t xml:space="preserve">Il </w:t>
      </w:r>
      <w:proofErr w:type="spellStart"/>
      <w:r w:rsidRPr="000708EB">
        <w:rPr>
          <w:rFonts w:cstheme="minorHAnsi"/>
          <w:color w:val="002060"/>
        </w:rPr>
        <w:t>Cipe</w:t>
      </w:r>
      <w:proofErr w:type="spellEnd"/>
      <w:r w:rsidRPr="000708EB">
        <w:rPr>
          <w:rFonts w:cstheme="minorHAnsi"/>
          <w:color w:val="002060"/>
        </w:rPr>
        <w:t xml:space="preserve"> approva nel 2003 il progetto preliminare (4,7 miliardi la costruzione, 6 miliardi costo totale), la gara per la costruzione viene lanciata il 15 aprile 2004, vinta a fine 2005 dal consorzio </w:t>
      </w:r>
      <w:proofErr w:type="spellStart"/>
      <w:r w:rsidRPr="000708EB">
        <w:rPr>
          <w:rFonts w:cstheme="minorHAnsi"/>
          <w:color w:val="002060"/>
        </w:rPr>
        <w:t>Eurolink</w:t>
      </w:r>
      <w:proofErr w:type="spellEnd"/>
      <w:r w:rsidRPr="000708EB">
        <w:rPr>
          <w:rFonts w:cstheme="minorHAnsi"/>
          <w:color w:val="002060"/>
        </w:rPr>
        <w:t xml:space="preserve">, a guida Salini Impregilo con gli spagnoli di </w:t>
      </w:r>
      <w:proofErr w:type="spellStart"/>
      <w:r w:rsidRPr="000708EB">
        <w:rPr>
          <w:rFonts w:cstheme="minorHAnsi"/>
          <w:color w:val="002060"/>
        </w:rPr>
        <w:t>Sacyr</w:t>
      </w:r>
      <w:proofErr w:type="spellEnd"/>
      <w:r w:rsidRPr="000708EB">
        <w:rPr>
          <w:rFonts w:cstheme="minorHAnsi"/>
          <w:color w:val="002060"/>
        </w:rPr>
        <w:t xml:space="preserve"> e i giapponesi di </w:t>
      </w:r>
      <w:proofErr w:type="spellStart"/>
      <w:r w:rsidRPr="000708EB">
        <w:rPr>
          <w:rFonts w:cstheme="minorHAnsi"/>
          <w:color w:val="002060"/>
        </w:rPr>
        <w:t>Harima</w:t>
      </w:r>
      <w:proofErr w:type="spellEnd"/>
      <w:r w:rsidRPr="000708EB">
        <w:rPr>
          <w:rFonts w:cstheme="minorHAnsi"/>
          <w:color w:val="002060"/>
        </w:rPr>
        <w:t>: da una base d’asta di 4,425 miliardi il contratto è stato poi firmato per 3,879 miliardi il 27 marzo 2006 (a pochi giorni dalle urne).</w:t>
      </w:r>
    </w:p>
    <w:p w:rsidR="00053E6B" w:rsidRPr="000708EB" w:rsidRDefault="00E87A07" w:rsidP="00135E70">
      <w:pPr>
        <w:pStyle w:val="Paragrafoelenco"/>
        <w:numPr>
          <w:ilvl w:val="0"/>
          <w:numId w:val="3"/>
        </w:numPr>
        <w:autoSpaceDE w:val="0"/>
        <w:autoSpaceDN w:val="0"/>
        <w:adjustRightInd w:val="0"/>
        <w:spacing w:after="0" w:line="240" w:lineRule="auto"/>
        <w:jc w:val="both"/>
        <w:rPr>
          <w:rFonts w:cstheme="minorHAnsi"/>
          <w:color w:val="002060"/>
        </w:rPr>
      </w:pPr>
      <w:r w:rsidRPr="000708EB">
        <w:rPr>
          <w:rFonts w:cstheme="minorHAnsi"/>
          <w:color w:val="002060"/>
        </w:rPr>
        <w:t>2006. Tra le prime iniziative del nuovo esecutivo c</w:t>
      </w:r>
      <w:r w:rsidR="00053E6B" w:rsidRPr="000708EB">
        <w:rPr>
          <w:rFonts w:cstheme="minorHAnsi"/>
          <w:color w:val="002060"/>
        </w:rPr>
        <w:t>on il Dl 262/2006 c’è la revoca dei fondi pubblici al Ponte, cadono 1,4 miliardi (governo Prodi)</w:t>
      </w:r>
    </w:p>
    <w:p w:rsidR="00053E6B" w:rsidRPr="000708EB" w:rsidRDefault="00053E6B" w:rsidP="00135E70">
      <w:pPr>
        <w:pStyle w:val="Paragrafoelenco"/>
        <w:numPr>
          <w:ilvl w:val="0"/>
          <w:numId w:val="3"/>
        </w:numPr>
        <w:autoSpaceDE w:val="0"/>
        <w:autoSpaceDN w:val="0"/>
        <w:adjustRightInd w:val="0"/>
        <w:spacing w:after="0" w:line="240" w:lineRule="auto"/>
        <w:jc w:val="both"/>
        <w:rPr>
          <w:rFonts w:cstheme="minorHAnsi"/>
          <w:color w:val="002060"/>
        </w:rPr>
      </w:pPr>
      <w:r w:rsidRPr="000708EB">
        <w:rPr>
          <w:rFonts w:cstheme="minorHAnsi"/>
          <w:color w:val="002060"/>
        </w:rPr>
        <w:t>2009 rifinanziamento CIPE al Ponte (Governo Berlusconi)</w:t>
      </w:r>
    </w:p>
    <w:p w:rsidR="00E87A07" w:rsidRPr="000708EB" w:rsidRDefault="00E87A07" w:rsidP="00135E70">
      <w:pPr>
        <w:pStyle w:val="Paragrafoelenco"/>
        <w:numPr>
          <w:ilvl w:val="0"/>
          <w:numId w:val="3"/>
        </w:numPr>
        <w:autoSpaceDE w:val="0"/>
        <w:autoSpaceDN w:val="0"/>
        <w:adjustRightInd w:val="0"/>
        <w:spacing w:after="0" w:line="240" w:lineRule="auto"/>
        <w:jc w:val="both"/>
        <w:rPr>
          <w:rFonts w:cstheme="minorHAnsi"/>
          <w:color w:val="002060"/>
        </w:rPr>
      </w:pPr>
      <w:r w:rsidRPr="000708EB">
        <w:rPr>
          <w:rFonts w:cstheme="minorHAnsi"/>
          <w:color w:val="002060"/>
        </w:rPr>
        <w:t>Il 2 ottobre 2009 la Stretto di Messina S.p.A. fa partire la progettazione definitiva ed esecutiva.</w:t>
      </w:r>
    </w:p>
    <w:p w:rsidR="00E87A07" w:rsidRPr="000708EB" w:rsidRDefault="00E87A07" w:rsidP="00135E70">
      <w:pPr>
        <w:pStyle w:val="Paragrafoelenco"/>
        <w:numPr>
          <w:ilvl w:val="0"/>
          <w:numId w:val="3"/>
        </w:numPr>
        <w:autoSpaceDE w:val="0"/>
        <w:autoSpaceDN w:val="0"/>
        <w:adjustRightInd w:val="0"/>
        <w:spacing w:after="0" w:line="240" w:lineRule="auto"/>
        <w:jc w:val="both"/>
        <w:rPr>
          <w:rFonts w:cstheme="minorHAnsi"/>
          <w:color w:val="002060"/>
        </w:rPr>
      </w:pPr>
      <w:r w:rsidRPr="000708EB">
        <w:rPr>
          <w:rFonts w:cstheme="minorHAnsi"/>
          <w:color w:val="002060"/>
        </w:rPr>
        <w:t>I primi cantieri</w:t>
      </w:r>
      <w:r w:rsidR="005C426B" w:rsidRPr="000708EB">
        <w:rPr>
          <w:rFonts w:cstheme="minorHAnsi"/>
          <w:color w:val="002060"/>
        </w:rPr>
        <w:t xml:space="preserve"> per </w:t>
      </w:r>
      <w:r w:rsidRPr="000708EB">
        <w:rPr>
          <w:rFonts w:cstheme="minorHAnsi"/>
          <w:color w:val="002060"/>
        </w:rPr>
        <w:t xml:space="preserve">lavori propedeutici sono stati avviati </w:t>
      </w:r>
      <w:r w:rsidR="005C426B" w:rsidRPr="000708EB">
        <w:rPr>
          <w:rFonts w:cstheme="minorHAnsi"/>
          <w:color w:val="002060"/>
        </w:rPr>
        <w:t xml:space="preserve">nel </w:t>
      </w:r>
      <w:r w:rsidRPr="000708EB">
        <w:rPr>
          <w:rFonts w:cstheme="minorHAnsi"/>
          <w:color w:val="002060"/>
        </w:rPr>
        <w:t xml:space="preserve">2009 </w:t>
      </w:r>
      <w:r w:rsidR="005C426B" w:rsidRPr="000708EB">
        <w:rPr>
          <w:rFonts w:cstheme="minorHAnsi"/>
          <w:color w:val="002060"/>
        </w:rPr>
        <w:t xml:space="preserve">con a </w:t>
      </w:r>
      <w:r w:rsidRPr="000708EB">
        <w:rPr>
          <w:rFonts w:cstheme="minorHAnsi"/>
          <w:color w:val="002060"/>
        </w:rPr>
        <w:t>deviazione dell</w:t>
      </w:r>
      <w:r w:rsidR="005C426B" w:rsidRPr="000708EB">
        <w:rPr>
          <w:rFonts w:cstheme="minorHAnsi"/>
          <w:color w:val="002060"/>
        </w:rPr>
        <w:t xml:space="preserve">a </w:t>
      </w:r>
      <w:r w:rsidRPr="000708EB">
        <w:rPr>
          <w:rFonts w:cstheme="minorHAnsi"/>
          <w:color w:val="002060"/>
        </w:rPr>
        <w:t xml:space="preserve">tratta ferroviaria tirrenica in corrispondenza di Cannitello,  </w:t>
      </w:r>
      <w:r w:rsidR="005C426B" w:rsidRPr="000708EB">
        <w:rPr>
          <w:rFonts w:cstheme="minorHAnsi"/>
          <w:color w:val="002060"/>
        </w:rPr>
        <w:t xml:space="preserve">per </w:t>
      </w:r>
      <w:r w:rsidRPr="000708EB">
        <w:rPr>
          <w:rFonts w:cstheme="minorHAnsi"/>
          <w:color w:val="002060"/>
        </w:rPr>
        <w:t>evitare le interferenze con il futuro cantiere della torre del ponte con analoghi lavori propedeutici sulla costa siciliana intrapresi nei mesi successivi.</w:t>
      </w:r>
    </w:p>
    <w:p w:rsidR="00E87A07" w:rsidRPr="000708EB" w:rsidRDefault="0099735F" w:rsidP="00135E70">
      <w:pPr>
        <w:pStyle w:val="Paragrafoelenco"/>
        <w:numPr>
          <w:ilvl w:val="0"/>
          <w:numId w:val="3"/>
        </w:numPr>
        <w:autoSpaceDE w:val="0"/>
        <w:autoSpaceDN w:val="0"/>
        <w:adjustRightInd w:val="0"/>
        <w:spacing w:after="0" w:line="240" w:lineRule="auto"/>
        <w:jc w:val="both"/>
        <w:rPr>
          <w:rFonts w:cstheme="minorHAnsi"/>
          <w:color w:val="002060"/>
        </w:rPr>
      </w:pPr>
      <w:r w:rsidRPr="000708EB">
        <w:rPr>
          <w:rFonts w:cstheme="minorHAnsi"/>
          <w:color w:val="002060"/>
        </w:rPr>
        <w:t xml:space="preserve">Nel 2010 viene consegnato </w:t>
      </w:r>
      <w:r w:rsidR="00E87A07" w:rsidRPr="000708EB">
        <w:rPr>
          <w:rFonts w:cstheme="minorHAnsi"/>
          <w:color w:val="002060"/>
        </w:rPr>
        <w:t>il progetto definitivo del ponte e degli oltre 40 chilometri di raccordi stradali e ferroviari. Più di ottomila elaborati progettuali che confermano tutte le impostazioni tecniche e i costi di costruzione del progetto preliminare approvato nel 2003 dal CIPE.</w:t>
      </w:r>
      <w:r w:rsidRPr="000708EB">
        <w:rPr>
          <w:rFonts w:ascii="Georgia" w:eastAsia="Times New Roman" w:hAnsi="Georgia" w:cs="Times New Roman"/>
          <w:color w:val="002060"/>
          <w:sz w:val="27"/>
          <w:szCs w:val="27"/>
          <w:lang w:eastAsia="it-IT"/>
        </w:rPr>
        <w:t xml:space="preserve"> </w:t>
      </w:r>
      <w:r w:rsidRPr="000708EB">
        <w:rPr>
          <w:rFonts w:cstheme="minorHAnsi"/>
          <w:color w:val="002060"/>
        </w:rPr>
        <w:t xml:space="preserve">Nel frattempo il contratto ad </w:t>
      </w:r>
      <w:proofErr w:type="spellStart"/>
      <w:r w:rsidRPr="000708EB">
        <w:rPr>
          <w:rFonts w:cstheme="minorHAnsi"/>
          <w:color w:val="002060"/>
        </w:rPr>
        <w:t>Eurolink</w:t>
      </w:r>
      <w:proofErr w:type="spellEnd"/>
      <w:r w:rsidRPr="000708EB">
        <w:rPr>
          <w:rFonts w:cstheme="minorHAnsi"/>
          <w:color w:val="002060"/>
        </w:rPr>
        <w:t xml:space="preserve"> viene aggiornato a 5,215 miliardi, e il costo complessivo dell’opera (comprese opere accessorie e oneri finanziari) sale a 8,55 miliardi</w:t>
      </w:r>
    </w:p>
    <w:p w:rsidR="00053E6B" w:rsidRPr="000708EB" w:rsidRDefault="00053E6B" w:rsidP="00135E70">
      <w:pPr>
        <w:pStyle w:val="Paragrafoelenco"/>
        <w:numPr>
          <w:ilvl w:val="0"/>
          <w:numId w:val="3"/>
        </w:numPr>
        <w:autoSpaceDE w:val="0"/>
        <w:autoSpaceDN w:val="0"/>
        <w:adjustRightInd w:val="0"/>
        <w:spacing w:after="0" w:line="240" w:lineRule="auto"/>
        <w:jc w:val="both"/>
        <w:rPr>
          <w:rFonts w:cstheme="minorHAnsi"/>
          <w:color w:val="002060"/>
        </w:rPr>
      </w:pPr>
      <w:r w:rsidRPr="000708EB">
        <w:rPr>
          <w:rFonts w:cstheme="minorHAnsi"/>
          <w:color w:val="002060"/>
        </w:rPr>
        <w:t xml:space="preserve">2011 </w:t>
      </w:r>
      <w:r w:rsidR="00E87A07" w:rsidRPr="000708EB">
        <w:rPr>
          <w:rFonts w:cstheme="minorHAnsi"/>
          <w:color w:val="002060"/>
        </w:rPr>
        <w:t>nuovo stop. L</w:t>
      </w:r>
      <w:r w:rsidRPr="000708EB">
        <w:rPr>
          <w:rFonts w:cstheme="minorHAnsi"/>
          <w:color w:val="002060"/>
        </w:rPr>
        <w:t>a Camera dei deputati a</w:t>
      </w:r>
      <w:r w:rsidR="00E87A07" w:rsidRPr="000708EB">
        <w:rPr>
          <w:rFonts w:cstheme="minorHAnsi"/>
          <w:color w:val="002060"/>
        </w:rPr>
        <w:t>pprova</w:t>
      </w:r>
      <w:r w:rsidRPr="000708EB">
        <w:rPr>
          <w:rFonts w:cstheme="minorHAnsi"/>
          <w:color w:val="002060"/>
        </w:rPr>
        <w:t xml:space="preserve"> un documento che impegna l'esecutivo</w:t>
      </w:r>
      <w:r w:rsidR="0099735F" w:rsidRPr="000708EB">
        <w:rPr>
          <w:rFonts w:cstheme="minorHAnsi"/>
          <w:color w:val="002060"/>
        </w:rPr>
        <w:t xml:space="preserve"> </w:t>
      </w:r>
      <w:r w:rsidRPr="000708EB">
        <w:rPr>
          <w:rFonts w:cstheme="minorHAnsi"/>
          <w:color w:val="002060"/>
        </w:rPr>
        <w:t xml:space="preserve">a revocare gli 1,7 miliardi già previsti per il ponte e destinati in parte all'Anas. </w:t>
      </w:r>
      <w:r w:rsidR="0099735F" w:rsidRPr="000708EB">
        <w:rPr>
          <w:rFonts w:cstheme="minorHAnsi"/>
          <w:color w:val="002060"/>
        </w:rPr>
        <w:t>Governo Monti. N</w:t>
      </w:r>
      <w:r w:rsidRPr="000708EB">
        <w:rPr>
          <w:rFonts w:cstheme="minorHAnsi"/>
          <w:color w:val="002060"/>
        </w:rPr>
        <w:t>iente più finanziamenti statali per la realizzazione del</w:t>
      </w:r>
      <w:r w:rsidR="00207632" w:rsidRPr="000708EB">
        <w:rPr>
          <w:rFonts w:cstheme="minorHAnsi"/>
          <w:color w:val="002060"/>
        </w:rPr>
        <w:t xml:space="preserve"> ponte sullo Stretto di Messina</w:t>
      </w:r>
    </w:p>
    <w:p w:rsidR="00C505F5" w:rsidRPr="000708EB" w:rsidRDefault="00786FEE" w:rsidP="00135E70">
      <w:pPr>
        <w:pStyle w:val="Paragrafoelenco"/>
        <w:numPr>
          <w:ilvl w:val="0"/>
          <w:numId w:val="3"/>
        </w:numPr>
        <w:autoSpaceDE w:val="0"/>
        <w:autoSpaceDN w:val="0"/>
        <w:adjustRightInd w:val="0"/>
        <w:spacing w:after="0" w:line="240" w:lineRule="auto"/>
        <w:jc w:val="both"/>
        <w:rPr>
          <w:rFonts w:cstheme="minorHAnsi"/>
          <w:color w:val="002060"/>
        </w:rPr>
      </w:pPr>
      <w:r w:rsidRPr="000708EB">
        <w:rPr>
          <w:rFonts w:cstheme="minorHAnsi"/>
          <w:color w:val="002060"/>
        </w:rPr>
        <w:t xml:space="preserve">2012. Il governo Monti approva il decreto legge 2 novembre 2012, n. 187, che dichiarò la «caducazione» ex </w:t>
      </w:r>
      <w:proofErr w:type="spellStart"/>
      <w:r w:rsidRPr="000708EB">
        <w:rPr>
          <w:rFonts w:cstheme="minorHAnsi"/>
          <w:color w:val="002060"/>
        </w:rPr>
        <w:t>lege</w:t>
      </w:r>
      <w:proofErr w:type="spellEnd"/>
      <w:r w:rsidRPr="000708EB">
        <w:rPr>
          <w:rFonts w:cstheme="minorHAnsi"/>
          <w:color w:val="002060"/>
        </w:rPr>
        <w:t xml:space="preserve"> della concessione alla Stretto di Messina e di tutti i contratti con le imprese</w:t>
      </w:r>
    </w:p>
    <w:p w:rsidR="00B053C2" w:rsidRPr="000708EB" w:rsidRDefault="00C505F5" w:rsidP="00135E70">
      <w:pPr>
        <w:pStyle w:val="Paragrafoelenco"/>
        <w:numPr>
          <w:ilvl w:val="0"/>
          <w:numId w:val="3"/>
        </w:numPr>
        <w:autoSpaceDE w:val="0"/>
        <w:autoSpaceDN w:val="0"/>
        <w:adjustRightInd w:val="0"/>
        <w:spacing w:after="0" w:line="240" w:lineRule="auto"/>
        <w:jc w:val="both"/>
        <w:rPr>
          <w:rFonts w:cstheme="minorHAnsi"/>
          <w:color w:val="002060"/>
        </w:rPr>
      </w:pPr>
      <w:r w:rsidRPr="000708EB">
        <w:rPr>
          <w:rFonts w:cstheme="minorHAnsi"/>
          <w:color w:val="002060"/>
        </w:rPr>
        <w:t>Con Decreto del Presidente del Consiglio dei Ministri, il 15 aprile 2013, Stretto di Messina S.p.A. viene posta in liquidazione con la nomina di un Commissario Liquidatore</w:t>
      </w:r>
      <w:r w:rsidR="001206FC" w:rsidRPr="000708EB">
        <w:rPr>
          <w:rFonts w:cstheme="minorHAnsi"/>
          <w:color w:val="002060"/>
        </w:rPr>
        <w:t xml:space="preserve">. Tra </w:t>
      </w:r>
      <w:proofErr w:type="spellStart"/>
      <w:r w:rsidR="001206FC" w:rsidRPr="000708EB">
        <w:rPr>
          <w:rFonts w:cstheme="minorHAnsi"/>
          <w:color w:val="002060"/>
        </w:rPr>
        <w:t>Eurolink</w:t>
      </w:r>
      <w:proofErr w:type="spellEnd"/>
      <w:r w:rsidR="001206FC" w:rsidRPr="000708EB">
        <w:rPr>
          <w:rFonts w:cstheme="minorHAnsi"/>
          <w:color w:val="002060"/>
        </w:rPr>
        <w:t xml:space="preserve"> e Stretto di Messina </w:t>
      </w:r>
      <w:proofErr w:type="spellStart"/>
      <w:r w:rsidR="001206FC" w:rsidRPr="000708EB">
        <w:rPr>
          <w:rFonts w:cstheme="minorHAnsi"/>
          <w:color w:val="002060"/>
        </w:rPr>
        <w:t>SpA</w:t>
      </w:r>
      <w:proofErr w:type="spellEnd"/>
      <w:r w:rsidR="001206FC" w:rsidRPr="000708EB">
        <w:rPr>
          <w:rFonts w:cstheme="minorHAnsi"/>
          <w:color w:val="002060"/>
        </w:rPr>
        <w:t xml:space="preserve"> comincia una guerra legale.</w:t>
      </w:r>
    </w:p>
    <w:p w:rsidR="005C426B" w:rsidRPr="000708EB" w:rsidRDefault="001206FC" w:rsidP="005C426B">
      <w:pPr>
        <w:pStyle w:val="Paragrafoelenco"/>
        <w:numPr>
          <w:ilvl w:val="0"/>
          <w:numId w:val="3"/>
        </w:numPr>
        <w:autoSpaceDE w:val="0"/>
        <w:autoSpaceDN w:val="0"/>
        <w:adjustRightInd w:val="0"/>
        <w:spacing w:after="0" w:line="240" w:lineRule="auto"/>
        <w:jc w:val="both"/>
        <w:rPr>
          <w:color w:val="002060"/>
        </w:rPr>
      </w:pPr>
      <w:r w:rsidRPr="000708EB">
        <w:rPr>
          <w:rFonts w:cstheme="minorHAnsi"/>
          <w:color w:val="002060"/>
        </w:rPr>
        <w:t xml:space="preserve">2018. Il tribunale di Roma in primo grado nega il diritto al risarcimento di 800 milioni chiesto da </w:t>
      </w:r>
      <w:proofErr w:type="spellStart"/>
      <w:r w:rsidRPr="000708EB">
        <w:rPr>
          <w:rFonts w:cstheme="minorHAnsi"/>
          <w:color w:val="002060"/>
        </w:rPr>
        <w:t>Eurolink</w:t>
      </w:r>
      <w:proofErr w:type="spellEnd"/>
      <w:r w:rsidRPr="000708EB">
        <w:rPr>
          <w:rFonts w:cstheme="minorHAnsi"/>
          <w:color w:val="002060"/>
        </w:rPr>
        <w:t xml:space="preserve"> a Stretto di Messina. </w:t>
      </w:r>
    </w:p>
    <w:p w:rsidR="00B053C2" w:rsidRPr="000708EB" w:rsidRDefault="001206FC" w:rsidP="005C426B">
      <w:pPr>
        <w:pStyle w:val="Paragrafoelenco"/>
        <w:numPr>
          <w:ilvl w:val="0"/>
          <w:numId w:val="3"/>
        </w:numPr>
        <w:autoSpaceDE w:val="0"/>
        <w:autoSpaceDN w:val="0"/>
        <w:adjustRightInd w:val="0"/>
        <w:spacing w:after="0" w:line="240" w:lineRule="auto"/>
        <w:jc w:val="both"/>
        <w:rPr>
          <w:color w:val="002060"/>
        </w:rPr>
      </w:pPr>
      <w:r w:rsidRPr="000708EB">
        <w:rPr>
          <w:color w:val="002060"/>
        </w:rPr>
        <w:lastRenderedPageBreak/>
        <w:t xml:space="preserve">2019. </w:t>
      </w:r>
      <w:proofErr w:type="spellStart"/>
      <w:r w:rsidRPr="000708EB">
        <w:rPr>
          <w:color w:val="002060"/>
        </w:rPr>
        <w:t>Eurolink</w:t>
      </w:r>
      <w:proofErr w:type="spellEnd"/>
      <w:r w:rsidRPr="000708EB">
        <w:rPr>
          <w:color w:val="002060"/>
        </w:rPr>
        <w:t xml:space="preserve"> presenta ricorso in appello contro la decisione dei giudici del tribunale civile di Roma. La causa è ancora in corso. La società stretto di Messina in liquidazione sostiene ogni anno le spese legali.</w:t>
      </w:r>
    </w:p>
    <w:p w:rsidR="00287C87" w:rsidRPr="000708EB" w:rsidRDefault="00287C87" w:rsidP="005C426B">
      <w:pPr>
        <w:pStyle w:val="Paragrafoelenco"/>
        <w:autoSpaceDE w:val="0"/>
        <w:autoSpaceDN w:val="0"/>
        <w:adjustRightInd w:val="0"/>
        <w:spacing w:after="0" w:line="240" w:lineRule="auto"/>
        <w:jc w:val="both"/>
        <w:rPr>
          <w:b/>
          <w:color w:val="002060"/>
        </w:rPr>
      </w:pPr>
    </w:p>
    <w:p w:rsidR="005C426B" w:rsidRPr="000708EB" w:rsidRDefault="005C426B" w:rsidP="005C426B">
      <w:pPr>
        <w:pStyle w:val="Paragrafoelenco"/>
        <w:autoSpaceDE w:val="0"/>
        <w:autoSpaceDN w:val="0"/>
        <w:adjustRightInd w:val="0"/>
        <w:spacing w:after="0" w:line="240" w:lineRule="auto"/>
        <w:jc w:val="both"/>
        <w:rPr>
          <w:b/>
          <w:color w:val="002060"/>
        </w:rPr>
      </w:pPr>
      <w:r w:rsidRPr="000708EB">
        <w:rPr>
          <w:b/>
          <w:color w:val="002060"/>
        </w:rPr>
        <w:t>CONCLUSIONI</w:t>
      </w:r>
    </w:p>
    <w:p w:rsidR="00E81188" w:rsidRPr="000708EB" w:rsidRDefault="00E81188" w:rsidP="00E81188">
      <w:pPr>
        <w:pStyle w:val="Paragrafoelenco"/>
        <w:autoSpaceDE w:val="0"/>
        <w:autoSpaceDN w:val="0"/>
        <w:adjustRightInd w:val="0"/>
        <w:spacing w:after="0" w:line="240" w:lineRule="auto"/>
        <w:jc w:val="both"/>
        <w:rPr>
          <w:color w:val="002060"/>
        </w:rPr>
      </w:pPr>
      <w:r w:rsidRPr="000708EB">
        <w:rPr>
          <w:color w:val="002060"/>
        </w:rPr>
        <w:t>Fin qui la storia di un percorso lastricato di contraddizioni e faide politiche. Per porre rimedio alle tortuosità del passato serve un programma che si articola in tre punti principali.</w:t>
      </w:r>
    </w:p>
    <w:p w:rsidR="00E81188" w:rsidRPr="000708EB" w:rsidRDefault="00E81188" w:rsidP="00E81188">
      <w:pPr>
        <w:pStyle w:val="Paragrafoelenco"/>
        <w:autoSpaceDE w:val="0"/>
        <w:autoSpaceDN w:val="0"/>
        <w:adjustRightInd w:val="0"/>
        <w:spacing w:after="0" w:line="240" w:lineRule="auto"/>
        <w:jc w:val="both"/>
        <w:rPr>
          <w:color w:val="002060"/>
        </w:rPr>
      </w:pPr>
      <w:r w:rsidRPr="000708EB">
        <w:rPr>
          <w:b/>
          <w:color w:val="002060"/>
        </w:rPr>
        <w:t>Tempi certi</w:t>
      </w:r>
      <w:r w:rsidRPr="000708EB">
        <w:rPr>
          <w:color w:val="002060"/>
        </w:rPr>
        <w:t>. Un piano di date e scadenze certe e indifferibili. Una tabella di marcia rigorosa agganciata a un sistema di responsabilità per gli impegni non mantenuti: chi sbaglia paga.</w:t>
      </w:r>
    </w:p>
    <w:p w:rsidR="00E81188" w:rsidRPr="000708EB" w:rsidRDefault="00E81188" w:rsidP="00E81188">
      <w:pPr>
        <w:pStyle w:val="Paragrafoelenco"/>
        <w:autoSpaceDE w:val="0"/>
        <w:autoSpaceDN w:val="0"/>
        <w:adjustRightInd w:val="0"/>
        <w:spacing w:after="0" w:line="240" w:lineRule="auto"/>
        <w:jc w:val="both"/>
        <w:rPr>
          <w:color w:val="002060"/>
        </w:rPr>
      </w:pPr>
      <w:r w:rsidRPr="000708EB">
        <w:rPr>
          <w:b/>
          <w:color w:val="002060"/>
        </w:rPr>
        <w:t>Costi certi</w:t>
      </w:r>
      <w:r w:rsidRPr="000708EB">
        <w:rPr>
          <w:color w:val="002060"/>
        </w:rPr>
        <w:t>. Un piano di spesa complessivo e comprensivo di finanziamenti pubblici e privati.</w:t>
      </w:r>
    </w:p>
    <w:p w:rsidR="00E81188" w:rsidRPr="000708EB" w:rsidRDefault="00E81188" w:rsidP="00E81188">
      <w:pPr>
        <w:pStyle w:val="Paragrafoelenco"/>
        <w:autoSpaceDE w:val="0"/>
        <w:autoSpaceDN w:val="0"/>
        <w:adjustRightInd w:val="0"/>
        <w:spacing w:after="0" w:line="240" w:lineRule="auto"/>
        <w:jc w:val="both"/>
        <w:rPr>
          <w:color w:val="002060"/>
        </w:rPr>
      </w:pPr>
      <w:r w:rsidRPr="000708EB">
        <w:rPr>
          <w:b/>
          <w:color w:val="002060"/>
        </w:rPr>
        <w:t>Agilità</w:t>
      </w:r>
      <w:r w:rsidRPr="000708EB">
        <w:rPr>
          <w:color w:val="002060"/>
        </w:rPr>
        <w:t xml:space="preserve">. Una gestione commissariale che garantisca </w:t>
      </w:r>
      <w:r w:rsidR="00B21857" w:rsidRPr="000708EB">
        <w:rPr>
          <w:color w:val="002060"/>
        </w:rPr>
        <w:t xml:space="preserve">flessibilità e celerità e rispetto dei termini durante tutte le fasi di progettazione e di realizzazione. </w:t>
      </w:r>
    </w:p>
    <w:p w:rsidR="00E81188" w:rsidRPr="000708EB" w:rsidRDefault="00E81188" w:rsidP="00E81188">
      <w:pPr>
        <w:pStyle w:val="Paragrafoelenco"/>
        <w:autoSpaceDE w:val="0"/>
        <w:autoSpaceDN w:val="0"/>
        <w:adjustRightInd w:val="0"/>
        <w:spacing w:after="0" w:line="240" w:lineRule="auto"/>
        <w:jc w:val="both"/>
        <w:rPr>
          <w:color w:val="002060"/>
        </w:rPr>
      </w:pPr>
    </w:p>
    <w:p w:rsidR="00E81188" w:rsidRDefault="00E81188" w:rsidP="00E81188">
      <w:pPr>
        <w:pStyle w:val="Paragrafoelenco"/>
        <w:autoSpaceDE w:val="0"/>
        <w:autoSpaceDN w:val="0"/>
        <w:adjustRightInd w:val="0"/>
        <w:spacing w:after="0" w:line="240" w:lineRule="auto"/>
        <w:jc w:val="both"/>
        <w:rPr>
          <w:color w:val="002060"/>
        </w:rPr>
      </w:pPr>
    </w:p>
    <w:p w:rsidR="00370F54" w:rsidRDefault="00370F54" w:rsidP="00E81188">
      <w:pPr>
        <w:pStyle w:val="Paragrafoelenco"/>
        <w:autoSpaceDE w:val="0"/>
        <w:autoSpaceDN w:val="0"/>
        <w:adjustRightInd w:val="0"/>
        <w:spacing w:after="0" w:line="240" w:lineRule="auto"/>
        <w:jc w:val="both"/>
        <w:rPr>
          <w:color w:val="002060"/>
        </w:rPr>
      </w:pPr>
      <w:r>
        <w:rPr>
          <w:color w:val="002060"/>
        </w:rPr>
        <w:t>L’UFFICIO COMUNICAZIONE DI SICINDUSTRIA</w:t>
      </w:r>
    </w:p>
    <w:p w:rsidR="00370F54" w:rsidRDefault="00370F54" w:rsidP="00370F54">
      <w:pPr>
        <w:pStyle w:val="Paragrafoelenco"/>
        <w:autoSpaceDE w:val="0"/>
        <w:autoSpaceDN w:val="0"/>
        <w:adjustRightInd w:val="0"/>
        <w:spacing w:after="0" w:line="240" w:lineRule="auto"/>
        <w:jc w:val="both"/>
        <w:rPr>
          <w:color w:val="002060"/>
        </w:rPr>
      </w:pPr>
      <w:r>
        <w:rPr>
          <w:color w:val="002060"/>
        </w:rPr>
        <w:t>Alessia Bivona 335 7968086</w:t>
      </w:r>
    </w:p>
    <w:p w:rsidR="00370F54" w:rsidRDefault="00DE5DA6" w:rsidP="00370F54">
      <w:pPr>
        <w:pStyle w:val="Paragrafoelenco"/>
        <w:autoSpaceDE w:val="0"/>
        <w:autoSpaceDN w:val="0"/>
        <w:adjustRightInd w:val="0"/>
        <w:spacing w:after="0" w:line="240" w:lineRule="auto"/>
        <w:jc w:val="both"/>
        <w:rPr>
          <w:color w:val="002060"/>
        </w:rPr>
      </w:pPr>
      <w:hyperlink r:id="rId10" w:history="1">
        <w:r w:rsidR="00370F54" w:rsidRPr="00211DD7">
          <w:rPr>
            <w:rStyle w:val="Collegamentoipertestuale"/>
          </w:rPr>
          <w:t>a.bivona@sicindustria.eu</w:t>
        </w:r>
      </w:hyperlink>
    </w:p>
    <w:p w:rsidR="00370F54" w:rsidRDefault="00370F54" w:rsidP="00370F54">
      <w:pPr>
        <w:pStyle w:val="Paragrafoelenco"/>
        <w:autoSpaceDE w:val="0"/>
        <w:autoSpaceDN w:val="0"/>
        <w:adjustRightInd w:val="0"/>
        <w:spacing w:after="0" w:line="240" w:lineRule="auto"/>
        <w:jc w:val="both"/>
        <w:rPr>
          <w:color w:val="002060"/>
        </w:rPr>
      </w:pPr>
    </w:p>
    <w:p w:rsidR="00370F54" w:rsidRDefault="00370F54" w:rsidP="00370F54">
      <w:pPr>
        <w:pStyle w:val="Paragrafoelenco"/>
        <w:autoSpaceDE w:val="0"/>
        <w:autoSpaceDN w:val="0"/>
        <w:adjustRightInd w:val="0"/>
        <w:spacing w:after="0" w:line="240" w:lineRule="auto"/>
        <w:jc w:val="both"/>
        <w:rPr>
          <w:color w:val="002060"/>
        </w:rPr>
      </w:pPr>
      <w:r>
        <w:rPr>
          <w:color w:val="002060"/>
        </w:rPr>
        <w:t>L’UFFICIO COMUNICAZIONE DI UNINDUSTRIA CALABRIA</w:t>
      </w:r>
    </w:p>
    <w:p w:rsidR="00370F54" w:rsidRDefault="00370F54" w:rsidP="00370F54">
      <w:pPr>
        <w:pStyle w:val="Paragrafoelenco"/>
        <w:autoSpaceDE w:val="0"/>
        <w:autoSpaceDN w:val="0"/>
        <w:adjustRightInd w:val="0"/>
        <w:spacing w:after="0" w:line="240" w:lineRule="auto"/>
        <w:jc w:val="both"/>
        <w:rPr>
          <w:color w:val="002060"/>
        </w:rPr>
      </w:pPr>
      <w:r>
        <w:rPr>
          <w:color w:val="002060"/>
        </w:rPr>
        <w:t xml:space="preserve">Monica </w:t>
      </w:r>
      <w:proofErr w:type="spellStart"/>
      <w:r>
        <w:rPr>
          <w:color w:val="002060"/>
        </w:rPr>
        <w:t>Perri</w:t>
      </w:r>
      <w:proofErr w:type="spellEnd"/>
      <w:r>
        <w:rPr>
          <w:color w:val="002060"/>
        </w:rPr>
        <w:t xml:space="preserve"> 338 4846895</w:t>
      </w:r>
    </w:p>
    <w:p w:rsidR="00370F54" w:rsidRDefault="00DE5DA6" w:rsidP="00370F54">
      <w:pPr>
        <w:pStyle w:val="Paragrafoelenco"/>
        <w:autoSpaceDE w:val="0"/>
        <w:autoSpaceDN w:val="0"/>
        <w:adjustRightInd w:val="0"/>
        <w:spacing w:after="0" w:line="240" w:lineRule="auto"/>
        <w:jc w:val="both"/>
        <w:rPr>
          <w:color w:val="002060"/>
        </w:rPr>
      </w:pPr>
      <w:hyperlink r:id="rId11" w:history="1">
        <w:r w:rsidR="00370F54" w:rsidRPr="00211DD7">
          <w:rPr>
            <w:rStyle w:val="Collegamentoipertestuale"/>
          </w:rPr>
          <w:t>m.perri@unindustriacalabria.it</w:t>
        </w:r>
      </w:hyperlink>
    </w:p>
    <w:p w:rsidR="00370F54" w:rsidRDefault="00370F54" w:rsidP="00370F54">
      <w:pPr>
        <w:pStyle w:val="Paragrafoelenco"/>
        <w:autoSpaceDE w:val="0"/>
        <w:autoSpaceDN w:val="0"/>
        <w:adjustRightInd w:val="0"/>
        <w:spacing w:after="0" w:line="240" w:lineRule="auto"/>
        <w:jc w:val="both"/>
        <w:rPr>
          <w:color w:val="002060"/>
        </w:rPr>
      </w:pPr>
    </w:p>
    <w:p w:rsidR="00370F54" w:rsidRDefault="00370F54" w:rsidP="00370F54">
      <w:pPr>
        <w:pStyle w:val="Paragrafoelenco"/>
        <w:autoSpaceDE w:val="0"/>
        <w:autoSpaceDN w:val="0"/>
        <w:adjustRightInd w:val="0"/>
        <w:spacing w:after="0" w:line="240" w:lineRule="auto"/>
        <w:jc w:val="both"/>
        <w:rPr>
          <w:color w:val="002060"/>
        </w:rPr>
      </w:pPr>
      <w:r>
        <w:rPr>
          <w:color w:val="002060"/>
        </w:rPr>
        <w:t>L’UFFICIO STAMPA DI CONFINDUSTRIA CATANIA</w:t>
      </w:r>
    </w:p>
    <w:p w:rsidR="00370F54" w:rsidRDefault="00370F54" w:rsidP="00370F54">
      <w:pPr>
        <w:pStyle w:val="Paragrafoelenco"/>
        <w:autoSpaceDE w:val="0"/>
        <w:autoSpaceDN w:val="0"/>
        <w:adjustRightInd w:val="0"/>
        <w:spacing w:after="0" w:line="240" w:lineRule="auto"/>
        <w:jc w:val="both"/>
        <w:rPr>
          <w:color w:val="002060"/>
        </w:rPr>
      </w:pPr>
      <w:r>
        <w:rPr>
          <w:color w:val="002060"/>
        </w:rPr>
        <w:t xml:space="preserve">Patrizia </w:t>
      </w:r>
      <w:proofErr w:type="spellStart"/>
      <w:r>
        <w:rPr>
          <w:color w:val="002060"/>
        </w:rPr>
        <w:t>Mazzamuto</w:t>
      </w:r>
      <w:proofErr w:type="spellEnd"/>
      <w:r>
        <w:rPr>
          <w:color w:val="002060"/>
        </w:rPr>
        <w:t xml:space="preserve"> 342 0564081</w:t>
      </w:r>
    </w:p>
    <w:p w:rsidR="00370F54" w:rsidRDefault="00DE5DA6" w:rsidP="00370F54">
      <w:pPr>
        <w:pStyle w:val="Paragrafoelenco"/>
        <w:autoSpaceDE w:val="0"/>
        <w:autoSpaceDN w:val="0"/>
        <w:adjustRightInd w:val="0"/>
        <w:spacing w:after="0" w:line="240" w:lineRule="auto"/>
        <w:jc w:val="both"/>
        <w:rPr>
          <w:color w:val="002060"/>
        </w:rPr>
      </w:pPr>
      <w:hyperlink r:id="rId12" w:history="1">
        <w:r w:rsidR="00370F54" w:rsidRPr="00211DD7">
          <w:rPr>
            <w:rStyle w:val="Collegamentoipertestuale"/>
          </w:rPr>
          <w:t>pmazzamuto@confindustriact.it</w:t>
        </w:r>
      </w:hyperlink>
    </w:p>
    <w:p w:rsidR="00370F54" w:rsidRDefault="00370F54" w:rsidP="00370F54">
      <w:pPr>
        <w:pStyle w:val="Paragrafoelenco"/>
        <w:autoSpaceDE w:val="0"/>
        <w:autoSpaceDN w:val="0"/>
        <w:adjustRightInd w:val="0"/>
        <w:spacing w:after="0" w:line="240" w:lineRule="auto"/>
        <w:jc w:val="both"/>
        <w:rPr>
          <w:color w:val="002060"/>
        </w:rPr>
      </w:pPr>
    </w:p>
    <w:p w:rsidR="00370F54" w:rsidRDefault="00370F54" w:rsidP="00370F54">
      <w:pPr>
        <w:pStyle w:val="Paragrafoelenco"/>
        <w:autoSpaceDE w:val="0"/>
        <w:autoSpaceDN w:val="0"/>
        <w:adjustRightInd w:val="0"/>
        <w:spacing w:after="0" w:line="240" w:lineRule="auto"/>
        <w:jc w:val="both"/>
        <w:rPr>
          <w:color w:val="002060"/>
        </w:rPr>
      </w:pPr>
      <w:r>
        <w:rPr>
          <w:color w:val="002060"/>
        </w:rPr>
        <w:t xml:space="preserve">L’UFFICIO </w:t>
      </w:r>
      <w:r w:rsidR="00D606EF">
        <w:rPr>
          <w:color w:val="002060"/>
        </w:rPr>
        <w:t xml:space="preserve">COMUNICAZIONE </w:t>
      </w:r>
      <w:r>
        <w:rPr>
          <w:color w:val="002060"/>
        </w:rPr>
        <w:t>DI CONFINDUSTRIA SIRACUSA</w:t>
      </w:r>
    </w:p>
    <w:p w:rsidR="00370F54" w:rsidRDefault="00370F54" w:rsidP="00370F54">
      <w:pPr>
        <w:pStyle w:val="Paragrafoelenco"/>
        <w:autoSpaceDE w:val="0"/>
        <w:autoSpaceDN w:val="0"/>
        <w:adjustRightInd w:val="0"/>
        <w:spacing w:after="0" w:line="240" w:lineRule="auto"/>
        <w:jc w:val="both"/>
        <w:rPr>
          <w:color w:val="002060"/>
        </w:rPr>
      </w:pPr>
      <w:r>
        <w:rPr>
          <w:color w:val="002060"/>
        </w:rPr>
        <w:t xml:space="preserve">Simona </w:t>
      </w:r>
      <w:proofErr w:type="spellStart"/>
      <w:r>
        <w:rPr>
          <w:color w:val="002060"/>
        </w:rPr>
        <w:t>Falsaperla</w:t>
      </w:r>
      <w:proofErr w:type="spellEnd"/>
      <w:r>
        <w:rPr>
          <w:color w:val="002060"/>
        </w:rPr>
        <w:t xml:space="preserve"> 366 6613124</w:t>
      </w:r>
    </w:p>
    <w:p w:rsidR="00370F54" w:rsidRDefault="00DE5DA6" w:rsidP="00370F54">
      <w:pPr>
        <w:pStyle w:val="Paragrafoelenco"/>
        <w:autoSpaceDE w:val="0"/>
        <w:autoSpaceDN w:val="0"/>
        <w:adjustRightInd w:val="0"/>
        <w:spacing w:after="0" w:line="240" w:lineRule="auto"/>
        <w:jc w:val="both"/>
        <w:rPr>
          <w:color w:val="002060"/>
        </w:rPr>
      </w:pPr>
      <w:hyperlink r:id="rId13" w:history="1">
        <w:r w:rsidR="00370F54" w:rsidRPr="00211DD7">
          <w:rPr>
            <w:rStyle w:val="Collegamentoipertestuale"/>
          </w:rPr>
          <w:t>falsaperla@confindustriasr.it</w:t>
        </w:r>
      </w:hyperlink>
    </w:p>
    <w:p w:rsidR="00370F54" w:rsidRPr="00370F54" w:rsidRDefault="00370F54" w:rsidP="00370F54">
      <w:pPr>
        <w:pStyle w:val="Paragrafoelenco"/>
        <w:autoSpaceDE w:val="0"/>
        <w:autoSpaceDN w:val="0"/>
        <w:adjustRightInd w:val="0"/>
        <w:spacing w:after="0" w:line="240" w:lineRule="auto"/>
        <w:jc w:val="both"/>
        <w:rPr>
          <w:color w:val="002060"/>
        </w:rPr>
      </w:pPr>
    </w:p>
    <w:sectPr w:rsidR="00370F54" w:rsidRPr="00370F5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0620A9"/>
    <w:multiLevelType w:val="hybridMultilevel"/>
    <w:tmpl w:val="4D60BFF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38D3667"/>
    <w:multiLevelType w:val="hybridMultilevel"/>
    <w:tmpl w:val="08FE76C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2E6632E"/>
    <w:multiLevelType w:val="hybridMultilevel"/>
    <w:tmpl w:val="68D63300"/>
    <w:lvl w:ilvl="0" w:tplc="FD4CF128">
      <w:numFmt w:val="bullet"/>
      <w:lvlText w:val=""/>
      <w:lvlJc w:val="left"/>
      <w:pPr>
        <w:ind w:left="853" w:hanging="360"/>
      </w:pPr>
      <w:rPr>
        <w:rFonts w:ascii="Symbol" w:eastAsia="Symbol" w:hAnsi="Symbol" w:cs="Symbol" w:hint="default"/>
        <w:w w:val="100"/>
        <w:sz w:val="22"/>
        <w:szCs w:val="22"/>
        <w:lang w:val="it-IT" w:eastAsia="it-IT" w:bidi="it-IT"/>
      </w:rPr>
    </w:lvl>
    <w:lvl w:ilvl="1" w:tplc="34B0AA4C">
      <w:numFmt w:val="bullet"/>
      <w:lvlText w:val="•"/>
      <w:lvlJc w:val="left"/>
      <w:pPr>
        <w:ind w:left="1818" w:hanging="360"/>
      </w:pPr>
      <w:rPr>
        <w:rFonts w:hint="default"/>
        <w:lang w:val="it-IT" w:eastAsia="it-IT" w:bidi="it-IT"/>
      </w:rPr>
    </w:lvl>
    <w:lvl w:ilvl="2" w:tplc="BF04780C">
      <w:numFmt w:val="bullet"/>
      <w:lvlText w:val="•"/>
      <w:lvlJc w:val="left"/>
      <w:pPr>
        <w:ind w:left="2777" w:hanging="360"/>
      </w:pPr>
      <w:rPr>
        <w:rFonts w:hint="default"/>
        <w:lang w:val="it-IT" w:eastAsia="it-IT" w:bidi="it-IT"/>
      </w:rPr>
    </w:lvl>
    <w:lvl w:ilvl="3" w:tplc="C4801A28">
      <w:numFmt w:val="bullet"/>
      <w:lvlText w:val="•"/>
      <w:lvlJc w:val="left"/>
      <w:pPr>
        <w:ind w:left="3735" w:hanging="360"/>
      </w:pPr>
      <w:rPr>
        <w:rFonts w:hint="default"/>
        <w:lang w:val="it-IT" w:eastAsia="it-IT" w:bidi="it-IT"/>
      </w:rPr>
    </w:lvl>
    <w:lvl w:ilvl="4" w:tplc="CC6CD45E">
      <w:numFmt w:val="bullet"/>
      <w:lvlText w:val="•"/>
      <w:lvlJc w:val="left"/>
      <w:pPr>
        <w:ind w:left="4694" w:hanging="360"/>
      </w:pPr>
      <w:rPr>
        <w:rFonts w:hint="default"/>
        <w:lang w:val="it-IT" w:eastAsia="it-IT" w:bidi="it-IT"/>
      </w:rPr>
    </w:lvl>
    <w:lvl w:ilvl="5" w:tplc="AEA8DB2C">
      <w:numFmt w:val="bullet"/>
      <w:lvlText w:val="•"/>
      <w:lvlJc w:val="left"/>
      <w:pPr>
        <w:ind w:left="5653" w:hanging="360"/>
      </w:pPr>
      <w:rPr>
        <w:rFonts w:hint="default"/>
        <w:lang w:val="it-IT" w:eastAsia="it-IT" w:bidi="it-IT"/>
      </w:rPr>
    </w:lvl>
    <w:lvl w:ilvl="6" w:tplc="AF8ABDC6">
      <w:numFmt w:val="bullet"/>
      <w:lvlText w:val="•"/>
      <w:lvlJc w:val="left"/>
      <w:pPr>
        <w:ind w:left="6611" w:hanging="360"/>
      </w:pPr>
      <w:rPr>
        <w:rFonts w:hint="default"/>
        <w:lang w:val="it-IT" w:eastAsia="it-IT" w:bidi="it-IT"/>
      </w:rPr>
    </w:lvl>
    <w:lvl w:ilvl="7" w:tplc="FDDED82E">
      <w:numFmt w:val="bullet"/>
      <w:lvlText w:val="•"/>
      <w:lvlJc w:val="left"/>
      <w:pPr>
        <w:ind w:left="7570" w:hanging="360"/>
      </w:pPr>
      <w:rPr>
        <w:rFonts w:hint="default"/>
        <w:lang w:val="it-IT" w:eastAsia="it-IT" w:bidi="it-IT"/>
      </w:rPr>
    </w:lvl>
    <w:lvl w:ilvl="8" w:tplc="16448352">
      <w:numFmt w:val="bullet"/>
      <w:lvlText w:val="•"/>
      <w:lvlJc w:val="left"/>
      <w:pPr>
        <w:ind w:left="8529" w:hanging="360"/>
      </w:pPr>
      <w:rPr>
        <w:rFonts w:hint="default"/>
        <w:lang w:val="it-IT" w:eastAsia="it-IT" w:bidi="it-IT"/>
      </w:rPr>
    </w:lvl>
  </w:abstractNum>
  <w:abstractNum w:abstractNumId="3" w15:restartNumberingAfterBreak="0">
    <w:nsid w:val="714838AB"/>
    <w:multiLevelType w:val="hybridMultilevel"/>
    <w:tmpl w:val="08FE76C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261"/>
    <w:rsid w:val="00006542"/>
    <w:rsid w:val="00032717"/>
    <w:rsid w:val="000446AF"/>
    <w:rsid w:val="00047B2C"/>
    <w:rsid w:val="00053E6B"/>
    <w:rsid w:val="00055332"/>
    <w:rsid w:val="00064B8D"/>
    <w:rsid w:val="000708EB"/>
    <w:rsid w:val="000A2B69"/>
    <w:rsid w:val="000B5B8C"/>
    <w:rsid w:val="000F09EE"/>
    <w:rsid w:val="001206FC"/>
    <w:rsid w:val="00135E70"/>
    <w:rsid w:val="00160582"/>
    <w:rsid w:val="001722D8"/>
    <w:rsid w:val="001E129E"/>
    <w:rsid w:val="00207632"/>
    <w:rsid w:val="00252041"/>
    <w:rsid w:val="00257ABB"/>
    <w:rsid w:val="0026705D"/>
    <w:rsid w:val="00287C87"/>
    <w:rsid w:val="002E06A0"/>
    <w:rsid w:val="00370F54"/>
    <w:rsid w:val="003E3647"/>
    <w:rsid w:val="003F49A7"/>
    <w:rsid w:val="003F76AF"/>
    <w:rsid w:val="0047674D"/>
    <w:rsid w:val="004B5D5F"/>
    <w:rsid w:val="004F45DF"/>
    <w:rsid w:val="00500502"/>
    <w:rsid w:val="005205BD"/>
    <w:rsid w:val="00536853"/>
    <w:rsid w:val="00555976"/>
    <w:rsid w:val="005B3F11"/>
    <w:rsid w:val="005C426B"/>
    <w:rsid w:val="005E4659"/>
    <w:rsid w:val="00696078"/>
    <w:rsid w:val="006A3FC2"/>
    <w:rsid w:val="006E482C"/>
    <w:rsid w:val="007855D1"/>
    <w:rsid w:val="00786FEE"/>
    <w:rsid w:val="007E5DDF"/>
    <w:rsid w:val="00823D27"/>
    <w:rsid w:val="0083677F"/>
    <w:rsid w:val="00844FF2"/>
    <w:rsid w:val="008D25C1"/>
    <w:rsid w:val="008E6FCD"/>
    <w:rsid w:val="008F08A4"/>
    <w:rsid w:val="008F5BD6"/>
    <w:rsid w:val="00944C29"/>
    <w:rsid w:val="00973174"/>
    <w:rsid w:val="0099084A"/>
    <w:rsid w:val="0099735F"/>
    <w:rsid w:val="009B0145"/>
    <w:rsid w:val="009C0D41"/>
    <w:rsid w:val="009C5DAE"/>
    <w:rsid w:val="009D0B10"/>
    <w:rsid w:val="00A30511"/>
    <w:rsid w:val="00A3554F"/>
    <w:rsid w:val="00A73B3E"/>
    <w:rsid w:val="00A75F6B"/>
    <w:rsid w:val="00AE4F47"/>
    <w:rsid w:val="00AF4551"/>
    <w:rsid w:val="00B053C2"/>
    <w:rsid w:val="00B21857"/>
    <w:rsid w:val="00B372D2"/>
    <w:rsid w:val="00B45E80"/>
    <w:rsid w:val="00B67251"/>
    <w:rsid w:val="00C505F5"/>
    <w:rsid w:val="00C7251F"/>
    <w:rsid w:val="00CA3DB8"/>
    <w:rsid w:val="00CB1A3C"/>
    <w:rsid w:val="00CC54F3"/>
    <w:rsid w:val="00CE2CE0"/>
    <w:rsid w:val="00CE6F00"/>
    <w:rsid w:val="00D02CDA"/>
    <w:rsid w:val="00D03D26"/>
    <w:rsid w:val="00D606EF"/>
    <w:rsid w:val="00DA53C7"/>
    <w:rsid w:val="00DE5DA6"/>
    <w:rsid w:val="00DF1EBA"/>
    <w:rsid w:val="00E331B7"/>
    <w:rsid w:val="00E81188"/>
    <w:rsid w:val="00E81971"/>
    <w:rsid w:val="00E869E2"/>
    <w:rsid w:val="00E87A07"/>
    <w:rsid w:val="00EA6B8A"/>
    <w:rsid w:val="00EC55FE"/>
    <w:rsid w:val="00F151A7"/>
    <w:rsid w:val="00F30092"/>
    <w:rsid w:val="00F35351"/>
    <w:rsid w:val="00FB3261"/>
    <w:rsid w:val="00FF43D6"/>
    <w:rsid w:val="00FF50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ECA515-316D-4B4A-A930-9BC2FB708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8"/>
        <w:szCs w:val="28"/>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44FF2"/>
    <w:rPr>
      <w:color w:val="0563C1" w:themeColor="hyperlink"/>
      <w:u w:val="single"/>
    </w:rPr>
  </w:style>
  <w:style w:type="paragraph" w:styleId="Paragrafoelenco">
    <w:name w:val="List Paragraph"/>
    <w:basedOn w:val="Normale"/>
    <w:uiPriority w:val="34"/>
    <w:qFormat/>
    <w:rsid w:val="001722D8"/>
    <w:pPr>
      <w:ind w:left="720"/>
      <w:contextualSpacing/>
    </w:pPr>
  </w:style>
  <w:style w:type="table" w:styleId="Grigliatabella">
    <w:name w:val="Table Grid"/>
    <w:basedOn w:val="Tabellanormale"/>
    <w:uiPriority w:val="39"/>
    <w:rsid w:val="000B5B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CC54F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C54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7626">
      <w:bodyDiv w:val="1"/>
      <w:marLeft w:val="0"/>
      <w:marRight w:val="0"/>
      <w:marTop w:val="0"/>
      <w:marBottom w:val="0"/>
      <w:divBdr>
        <w:top w:val="none" w:sz="0" w:space="0" w:color="auto"/>
        <w:left w:val="none" w:sz="0" w:space="0" w:color="auto"/>
        <w:bottom w:val="none" w:sz="0" w:space="0" w:color="auto"/>
        <w:right w:val="none" w:sz="0" w:space="0" w:color="auto"/>
      </w:divBdr>
    </w:div>
    <w:div w:id="331106103">
      <w:bodyDiv w:val="1"/>
      <w:marLeft w:val="0"/>
      <w:marRight w:val="0"/>
      <w:marTop w:val="0"/>
      <w:marBottom w:val="0"/>
      <w:divBdr>
        <w:top w:val="none" w:sz="0" w:space="0" w:color="auto"/>
        <w:left w:val="none" w:sz="0" w:space="0" w:color="auto"/>
        <w:bottom w:val="none" w:sz="0" w:space="0" w:color="auto"/>
        <w:right w:val="none" w:sz="0" w:space="0" w:color="auto"/>
      </w:divBdr>
    </w:div>
    <w:div w:id="379548720">
      <w:bodyDiv w:val="1"/>
      <w:marLeft w:val="0"/>
      <w:marRight w:val="0"/>
      <w:marTop w:val="0"/>
      <w:marBottom w:val="0"/>
      <w:divBdr>
        <w:top w:val="none" w:sz="0" w:space="0" w:color="auto"/>
        <w:left w:val="none" w:sz="0" w:space="0" w:color="auto"/>
        <w:bottom w:val="none" w:sz="0" w:space="0" w:color="auto"/>
        <w:right w:val="none" w:sz="0" w:space="0" w:color="auto"/>
      </w:divBdr>
    </w:div>
    <w:div w:id="587153893">
      <w:bodyDiv w:val="1"/>
      <w:marLeft w:val="0"/>
      <w:marRight w:val="0"/>
      <w:marTop w:val="0"/>
      <w:marBottom w:val="0"/>
      <w:divBdr>
        <w:top w:val="none" w:sz="0" w:space="0" w:color="auto"/>
        <w:left w:val="none" w:sz="0" w:space="0" w:color="auto"/>
        <w:bottom w:val="none" w:sz="0" w:space="0" w:color="auto"/>
        <w:right w:val="none" w:sz="0" w:space="0" w:color="auto"/>
      </w:divBdr>
    </w:div>
    <w:div w:id="828791836">
      <w:bodyDiv w:val="1"/>
      <w:marLeft w:val="0"/>
      <w:marRight w:val="0"/>
      <w:marTop w:val="0"/>
      <w:marBottom w:val="0"/>
      <w:divBdr>
        <w:top w:val="none" w:sz="0" w:space="0" w:color="auto"/>
        <w:left w:val="none" w:sz="0" w:space="0" w:color="auto"/>
        <w:bottom w:val="none" w:sz="0" w:space="0" w:color="auto"/>
        <w:right w:val="none" w:sz="0" w:space="0" w:color="auto"/>
      </w:divBdr>
    </w:div>
    <w:div w:id="1263027455">
      <w:bodyDiv w:val="1"/>
      <w:marLeft w:val="0"/>
      <w:marRight w:val="0"/>
      <w:marTop w:val="0"/>
      <w:marBottom w:val="0"/>
      <w:divBdr>
        <w:top w:val="none" w:sz="0" w:space="0" w:color="auto"/>
        <w:left w:val="none" w:sz="0" w:space="0" w:color="auto"/>
        <w:bottom w:val="none" w:sz="0" w:space="0" w:color="auto"/>
        <w:right w:val="none" w:sz="0" w:space="0" w:color="auto"/>
      </w:divBdr>
    </w:div>
    <w:div w:id="1390375133">
      <w:bodyDiv w:val="1"/>
      <w:marLeft w:val="0"/>
      <w:marRight w:val="0"/>
      <w:marTop w:val="0"/>
      <w:marBottom w:val="0"/>
      <w:divBdr>
        <w:top w:val="none" w:sz="0" w:space="0" w:color="auto"/>
        <w:left w:val="none" w:sz="0" w:space="0" w:color="auto"/>
        <w:bottom w:val="none" w:sz="0" w:space="0" w:color="auto"/>
        <w:right w:val="none" w:sz="0" w:space="0" w:color="auto"/>
      </w:divBdr>
    </w:div>
    <w:div w:id="1594702304">
      <w:bodyDiv w:val="1"/>
      <w:marLeft w:val="0"/>
      <w:marRight w:val="0"/>
      <w:marTop w:val="0"/>
      <w:marBottom w:val="0"/>
      <w:divBdr>
        <w:top w:val="none" w:sz="0" w:space="0" w:color="auto"/>
        <w:left w:val="none" w:sz="0" w:space="0" w:color="auto"/>
        <w:bottom w:val="none" w:sz="0" w:space="0" w:color="auto"/>
        <w:right w:val="none" w:sz="0" w:space="0" w:color="auto"/>
      </w:divBdr>
      <w:divsChild>
        <w:div w:id="1897231898">
          <w:marLeft w:val="0"/>
          <w:marRight w:val="0"/>
          <w:marTop w:val="0"/>
          <w:marBottom w:val="0"/>
          <w:divBdr>
            <w:top w:val="none" w:sz="0" w:space="0" w:color="auto"/>
            <w:left w:val="none" w:sz="0" w:space="0" w:color="auto"/>
            <w:bottom w:val="none" w:sz="0" w:space="0" w:color="auto"/>
            <w:right w:val="none" w:sz="0" w:space="0" w:color="auto"/>
          </w:divBdr>
        </w:div>
        <w:div w:id="2109233514">
          <w:marLeft w:val="0"/>
          <w:marRight w:val="0"/>
          <w:marTop w:val="0"/>
          <w:marBottom w:val="0"/>
          <w:divBdr>
            <w:top w:val="none" w:sz="0" w:space="0" w:color="auto"/>
            <w:left w:val="none" w:sz="0" w:space="0" w:color="auto"/>
            <w:bottom w:val="none" w:sz="0" w:space="0" w:color="auto"/>
            <w:right w:val="none" w:sz="0" w:space="0" w:color="auto"/>
          </w:divBdr>
        </w:div>
        <w:div w:id="1217660767">
          <w:marLeft w:val="0"/>
          <w:marRight w:val="0"/>
          <w:marTop w:val="0"/>
          <w:marBottom w:val="0"/>
          <w:divBdr>
            <w:top w:val="none" w:sz="0" w:space="0" w:color="auto"/>
            <w:left w:val="none" w:sz="0" w:space="0" w:color="auto"/>
            <w:bottom w:val="none" w:sz="0" w:space="0" w:color="auto"/>
            <w:right w:val="none" w:sz="0" w:space="0" w:color="auto"/>
          </w:divBdr>
        </w:div>
      </w:divsChild>
    </w:div>
    <w:div w:id="1736900771">
      <w:bodyDiv w:val="1"/>
      <w:marLeft w:val="0"/>
      <w:marRight w:val="0"/>
      <w:marTop w:val="0"/>
      <w:marBottom w:val="0"/>
      <w:divBdr>
        <w:top w:val="none" w:sz="0" w:space="0" w:color="auto"/>
        <w:left w:val="none" w:sz="0" w:space="0" w:color="auto"/>
        <w:bottom w:val="none" w:sz="0" w:space="0" w:color="auto"/>
        <w:right w:val="none" w:sz="0" w:space="0" w:color="auto"/>
      </w:divBdr>
    </w:div>
    <w:div w:id="174032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falsaperla@confindustriasr.it"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mailto:pmazzamuto@confindustriact.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mailto:m.perri@unindustriacalabria.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bivona@sicindustria.eu"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0B358-5521-444D-9804-2B13F5C25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15</Pages>
  <Words>3535</Words>
  <Characters>20153</Characters>
  <Application>Microsoft Office Word</Application>
  <DocSecurity>0</DocSecurity>
  <Lines>167</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 CONFINDUSTRIAPA</dc:creator>
  <cp:keywords/>
  <dc:description/>
  <cp:lastModifiedBy>TRE CONFINDUSTRIAPA</cp:lastModifiedBy>
  <cp:revision>54</cp:revision>
  <cp:lastPrinted>2020-06-10T06:52:00Z</cp:lastPrinted>
  <dcterms:created xsi:type="dcterms:W3CDTF">2020-06-05T18:40:00Z</dcterms:created>
  <dcterms:modified xsi:type="dcterms:W3CDTF">2020-06-15T12:11:00Z</dcterms:modified>
</cp:coreProperties>
</file>